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FD0" w:rsidP="00E83FD0">
      <w:pPr>
        <w:pStyle w:val="Title"/>
      </w:pPr>
      <w:r>
        <w:fldChar w:fldCharType="begin"/>
      </w:r>
      <w:r>
        <w:instrText xml:space="preserve"> TITLE   \* MERGEFORMAT </w:instrText>
      </w:r>
      <w:r>
        <w:fldChar w:fldCharType="separate"/>
      </w:r>
      <w:r>
        <w:t>MSL952002 Handle and transport samples or equipment</w:t>
      </w:r>
      <w:r>
        <w:fldChar w:fldCharType="end"/>
      </w:r>
    </w:p>
    <w:p w:rsidR="00E83FD0" w:rsidP="00E83FD0">
      <w:pPr>
        <w:pStyle w:val="Version"/>
        <w:sectPr w:rsidSect="00E36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04D" w:rsidP="00E3604D">
      <w:pPr>
        <w:pStyle w:val="SuperHeading"/>
      </w:pPr>
      <w:r w:rsidRPr="00E3604D">
        <w:t>MSL952002 Handle and transport samples or equipment</w:t>
      </w:r>
    </w:p>
    <w:p w:rsidR="00000000" w:rsidRPr="00E3604D" w:rsidP="00E3604D">
      <w:pPr>
        <w:pStyle w:val="Heading1"/>
      </w:pPr>
      <w:bookmarkStart w:id="1" w:name="O_985604"/>
      <w:bookmarkEnd w:id="1"/>
      <w:r w:rsidRPr="00E3604D">
        <w:t>Modification History</w:t>
      </w:r>
    </w:p>
    <w:tbl>
      <w:tblPr>
        <w:tblW w:w="0" w:type="auto"/>
        <w:tblLayout w:type="fixed"/>
        <w:tblCellMar>
          <w:left w:w="62" w:type="dxa"/>
          <w:right w:w="62" w:type="dxa"/>
        </w:tblCellMar>
        <w:tblLook w:val="0000"/>
      </w:tblPr>
      <w:tblGrid>
        <w:gridCol w:w="1882"/>
        <w:gridCol w:w="7252"/>
      </w:tblGrid>
      <w:tr w:rsidTr="00E3604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3604D" w:rsidP="00E3604D">
            <w:pPr>
              <w:pStyle w:val="BodyText"/>
            </w:pPr>
            <w:r w:rsidRPr="00E3604D">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3604D">
            <w:pPr>
              <w:pStyle w:val="BodyText"/>
              <w:rPr>
                <w:lang w:val="en-NZ"/>
              </w:rPr>
            </w:pPr>
            <w:r w:rsidRPr="00E3604D">
              <w:rPr>
                <w:rStyle w:val="SpecialBold"/>
              </w:rPr>
              <w:t>Comments</w:t>
            </w:r>
          </w:p>
        </w:tc>
      </w:tr>
      <w:tr w:rsidTr="00E3604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04D">
            <w:pPr>
              <w:pStyle w:val="BodyText"/>
              <w:rPr>
                <w:lang w:val="en-NZ"/>
              </w:rPr>
            </w:pPr>
            <w:r w:rsidRPr="00E3604D">
              <w:t>Release 2</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04D">
            <w:pPr>
              <w:pStyle w:val="BodyText"/>
              <w:rPr>
                <w:lang w:val="en-NZ"/>
              </w:rPr>
            </w:pPr>
            <w:r w:rsidRPr="00E3604D">
              <w:t>Unit codes in Assessment Conditions updated. Equivalent outcome.</w:t>
            </w:r>
          </w:p>
        </w:tc>
      </w:tr>
      <w:tr w:rsidTr="00E3604D">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04D">
            <w:pPr>
              <w:pStyle w:val="BodyText"/>
              <w:rPr>
                <w:lang w:val="en-NZ"/>
              </w:rPr>
            </w:pPr>
            <w:r w:rsidRPr="00E3604D">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04D" w:rsidP="00E3604D">
            <w:pPr>
              <w:pStyle w:val="BodyText"/>
            </w:pPr>
            <w:r w:rsidRPr="00E3604D">
              <w:t>Supersedes and is equivalent to MSL952002A Handle and transport samples or equipment.</w:t>
            </w:r>
          </w:p>
        </w:tc>
      </w:tr>
    </w:tbl>
    <w:p w:rsidR="00000000" w:rsidRPr="00E3604D" w:rsidP="00E3604D">
      <w:pPr>
        <w:pStyle w:val="BodyText"/>
      </w:pPr>
    </w:p>
    <w:p w:rsidR="00000000" w:rsidRPr="00E3604D" w:rsidP="00E3604D">
      <w:pPr>
        <w:pStyle w:val="AllowPageBreak"/>
      </w:pPr>
    </w:p>
    <w:p w:rsidR="00000000" w:rsidRPr="00E3604D" w:rsidP="00E3604D">
      <w:pPr>
        <w:pStyle w:val="Heading1"/>
      </w:pPr>
      <w:bookmarkStart w:id="2" w:name="O_985603"/>
      <w:bookmarkEnd w:id="2"/>
      <w:r w:rsidRPr="00E3604D">
        <w:t>Application</w:t>
      </w:r>
    </w:p>
    <w:p w:rsidR="00000000" w:rsidRPr="00E3604D" w:rsidP="00E83FD0">
      <w:pPr>
        <w:pStyle w:val="BodyText"/>
      </w:pPr>
      <w:r w:rsidRPr="00E3604D">
        <w:t>This u</w:t>
      </w:r>
      <w:r w:rsidRPr="00E3604D">
        <w:t xml:space="preserve">nit of competency covers the ability to pick up and transport samples or test/calibration equipment in a way that ensures the integrity of subsequent test results. </w:t>
      </w:r>
    </w:p>
    <w:p w:rsidR="00000000" w:rsidRPr="00E3604D" w:rsidP="00E83FD0">
      <w:pPr>
        <w:pStyle w:val="BodyText"/>
      </w:pPr>
      <w:r w:rsidRPr="00E3604D">
        <w:t>This unit of competency is applicable to couriers and laboratory and field assistants in all industry sectors. The person transporting the items is not necessarily responsible for sampling or testing. This unit does not cover sample collection or the abili</w:t>
      </w:r>
      <w:r w:rsidRPr="00E3604D">
        <w:t xml:space="preserve">ty to handle and transport animals as might be defined under prevailing animal care and ethics legislation and practices. </w:t>
      </w:r>
    </w:p>
    <w:p w:rsidR="00000000" w:rsidRPr="00E3604D" w:rsidP="00E83FD0">
      <w:pPr>
        <w:pStyle w:val="BodyText"/>
      </w:pPr>
      <w:r w:rsidRPr="00E3604D">
        <w:t>While no specific licensing or certification requirements apply to this unit at the time of publication, laboratory operations are g</w:t>
      </w:r>
      <w:r w:rsidRPr="00E3604D">
        <w:t>overned by relevant legislation, regulations and/or external accreditation requirements. Local requirements should be checked.</w:t>
      </w:r>
    </w:p>
    <w:p w:rsidR="00000000" w:rsidRPr="00E3604D" w:rsidP="00E3604D">
      <w:pPr>
        <w:pStyle w:val="Heading1"/>
      </w:pPr>
      <w:bookmarkStart w:id="3" w:name="O_985602"/>
      <w:bookmarkEnd w:id="3"/>
      <w:r w:rsidRPr="00E3604D">
        <w:t>Pre-requisite Unit</w:t>
      </w:r>
    </w:p>
    <w:p w:rsidR="00000000" w:rsidRPr="00E3604D" w:rsidP="00E83FD0">
      <w:pPr>
        <w:pStyle w:val="BodyText"/>
      </w:pPr>
      <w:r w:rsidRPr="00E3604D">
        <w:t>Nil</w:t>
      </w:r>
    </w:p>
    <w:p w:rsidR="00000000" w:rsidRPr="00E3604D" w:rsidP="00E3604D">
      <w:pPr>
        <w:pStyle w:val="Heading1"/>
      </w:pPr>
      <w:bookmarkStart w:id="4" w:name="O_985601"/>
      <w:bookmarkEnd w:id="4"/>
      <w:r w:rsidRPr="00E3604D">
        <w:t>Competency Field</w:t>
      </w:r>
    </w:p>
    <w:p w:rsidR="00000000" w:rsidRPr="00E3604D" w:rsidP="00E83FD0">
      <w:pPr>
        <w:pStyle w:val="BodyText"/>
      </w:pPr>
      <w:r w:rsidRPr="00E3604D">
        <w:t>Sampling</w:t>
      </w:r>
    </w:p>
    <w:p w:rsidR="00000000" w:rsidRPr="00E3604D" w:rsidP="00E3604D">
      <w:pPr>
        <w:pStyle w:val="Heading1"/>
      </w:pPr>
      <w:bookmarkStart w:id="5" w:name="O_985600"/>
      <w:bookmarkEnd w:id="5"/>
      <w:r w:rsidRPr="00E3604D">
        <w:t>Unit Sector</w:t>
      </w:r>
    </w:p>
    <w:p w:rsidR="00000000" w:rsidRPr="00E3604D" w:rsidP="00E3604D">
      <w:pPr>
        <w:pStyle w:val="Heading1"/>
      </w:pPr>
      <w:bookmarkStart w:id="6" w:name="O_985599"/>
      <w:bookmarkEnd w:id="6"/>
      <w:r w:rsidRPr="00E3604D">
        <w:t>E</w:t>
      </w:r>
      <w:r w:rsidRPr="00E3604D">
        <w:t>lements and Performance Criteria</w:t>
      </w:r>
    </w:p>
    <w:tbl>
      <w:tblPr>
        <w:tblW w:w="0" w:type="auto"/>
        <w:tblLayout w:type="fixed"/>
        <w:tblCellMar>
          <w:left w:w="62" w:type="dxa"/>
          <w:right w:w="62" w:type="dxa"/>
        </w:tblCellMar>
        <w:tblLook w:val="0000"/>
      </w:tblPr>
      <w:tblGrid>
        <w:gridCol w:w="678"/>
        <w:gridCol w:w="1962"/>
        <w:gridCol w:w="770"/>
        <w:gridCol w:w="5610"/>
      </w:tblGrid>
      <w:tr w:rsidTr="00E3604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Performance criteria describe the performance needed to demonstrate achievement of the element.</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1</w:t>
            </w:r>
          </w:p>
        </w:tc>
        <w:tc>
          <w:tcPr>
            <w:tcW w:w="1962" w:type="dxa"/>
            <w:vMerge w:val="restart"/>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Prepare for pickup</w:t>
            </w: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1.1</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Confirm pickup sequence and any licence or permit requirements with supervisor</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1.2</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Check that vehicle and communication devices are in working order</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1.3</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Check that required transport containers and materials are in the vehicle</w:t>
            </w:r>
          </w:p>
        </w:tc>
      </w:tr>
      <w:tr w:rsidTr="00E360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604D">
            <w:pPr>
              <w:pStyle w:val="BodyText"/>
              <w:rPr>
                <w:lang w:val="en-NZ"/>
              </w:rPr>
            </w:pP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2</w:t>
            </w:r>
          </w:p>
        </w:tc>
        <w:tc>
          <w:tcPr>
            <w:tcW w:w="1962" w:type="dxa"/>
            <w:vMerge w:val="restart"/>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Pick up and transport items</w:t>
            </w: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2.1</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Confirm the number and nature of items to be picked up on arrival</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2.2</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Ensure items match documentation</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2.3</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Apply workplace requirements to the transport of samples and/or equipment</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2.4</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Alert laboratory personnel to any special needs that are identified on documents accompanying the items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2.5</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Complete required documentation at pickup point</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2.6</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Stow items in the specified transport containers and under the required conditions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2.7</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Maintain sample integrity at all times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2.8</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Deliver items to reception point in accordance with workplace procedures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2.9</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Maintain confidentiality of information</w:t>
            </w:r>
          </w:p>
        </w:tc>
      </w:tr>
      <w:tr w:rsidTr="00E360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604D">
            <w:pPr>
              <w:pStyle w:val="BodyText"/>
              <w:rPr>
                <w:lang w:val="en-NZ"/>
              </w:rPr>
            </w:pP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3</w:t>
            </w:r>
          </w:p>
        </w:tc>
        <w:tc>
          <w:tcPr>
            <w:tcW w:w="1962" w:type="dxa"/>
            <w:vMerge w:val="restart"/>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Maintain transport equipment</w:t>
            </w: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3.1</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Maintain vehicle according to workplace requirements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3.2</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Maintain state of transport containers to ensure they are fit for purpose</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3.3</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Requisition stocks of consumable materials as required</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3.4</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Replenish stocks of collecting equipment at collection centres as required</w:t>
            </w:r>
          </w:p>
        </w:tc>
      </w:tr>
      <w:tr w:rsidTr="00E3604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3604D">
            <w:pPr>
              <w:pStyle w:val="BodyText"/>
              <w:rPr>
                <w:lang w:val="en-NZ"/>
              </w:rPr>
            </w:pP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4</w:t>
            </w:r>
          </w:p>
        </w:tc>
        <w:tc>
          <w:tcPr>
            <w:tcW w:w="1962" w:type="dxa"/>
            <w:vMerge w:val="restart"/>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 xml:space="preserve">Maintain a safe work </w:t>
            </w:r>
            <w:r w:rsidRPr="00E3604D">
              <w:rPr>
                <w:rStyle w:val="SpecialBold"/>
              </w:rPr>
              <w:t>environment</w:t>
            </w: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4.1</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 xml:space="preserve">Use established work safety practices and personal protective equipment (PPE) to ensure personal safety </w:t>
            </w:r>
            <w:r w:rsidRPr="00E3604D">
              <w:t>and that of others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4.2</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Clean up spills, if they occur, using workplace procedures</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4.3</w:t>
            </w:r>
          </w:p>
        </w:tc>
        <w:tc>
          <w:tcPr>
            <w:tcW w:w="561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Minimise the generation of waste</w:t>
            </w:r>
          </w:p>
        </w:tc>
      </w:tr>
      <w:tr w:rsidTr="00E3604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4.4</w:t>
            </w:r>
          </w:p>
        </w:tc>
        <w:tc>
          <w:tcPr>
            <w:tcW w:w="5610" w:type="dxa"/>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Dispose of all waste in accordance with workplace procedures</w:t>
            </w:r>
          </w:p>
        </w:tc>
      </w:tr>
    </w:tbl>
    <w:p w:rsidR="00000000" w:rsidRPr="00E3604D" w:rsidP="00E3604D">
      <w:pPr>
        <w:pStyle w:val="BodyText"/>
      </w:pPr>
    </w:p>
    <w:p w:rsidR="00000000" w:rsidRPr="00E3604D" w:rsidP="00E3604D">
      <w:pPr>
        <w:pStyle w:val="AllowPageBreak"/>
      </w:pPr>
    </w:p>
    <w:p w:rsidR="00000000" w:rsidRPr="00E3604D" w:rsidP="00E3604D">
      <w:pPr>
        <w:pStyle w:val="Heading1"/>
      </w:pPr>
      <w:bookmarkStart w:id="7" w:name="O_985598"/>
      <w:bookmarkEnd w:id="7"/>
      <w:r w:rsidRPr="00E3604D">
        <w:t>Foundation Skills</w:t>
      </w:r>
    </w:p>
    <w:p w:rsidR="00000000" w:rsidRPr="00E3604D" w:rsidP="00E83FD0">
      <w:pPr>
        <w:pStyle w:val="BodyText"/>
      </w:pPr>
      <w:r w:rsidRPr="00E3604D">
        <w:t>This section describes those language, literacy, numeracy and employment skills that are essential to performance.</w:t>
      </w:r>
    </w:p>
    <w:p w:rsidR="00000000" w:rsidRPr="00E3604D" w:rsidP="00E83FD0">
      <w:pPr>
        <w:pStyle w:val="BodyText"/>
      </w:pPr>
      <w:r w:rsidRPr="00E3604D">
        <w:t>Foundation skills essential to performance are explicit in the performance criteria of this unit of competency.</w:t>
      </w:r>
    </w:p>
    <w:p w:rsidR="00000000" w:rsidRPr="00E3604D" w:rsidP="00E3604D">
      <w:pPr>
        <w:pStyle w:val="Heading1"/>
      </w:pPr>
      <w:bookmarkStart w:id="8" w:name="O_985597"/>
      <w:bookmarkEnd w:id="8"/>
      <w:r w:rsidRPr="00E3604D">
        <w:t>Range of Co</w:t>
      </w:r>
      <w:r w:rsidRPr="00E3604D">
        <w:t>nditions</w:t>
      </w:r>
    </w:p>
    <w:tbl>
      <w:tblPr>
        <w:tblW w:w="0" w:type="auto"/>
        <w:tblCellMar>
          <w:left w:w="62" w:type="dxa"/>
          <w:right w:w="62" w:type="dxa"/>
        </w:tblCellMar>
        <w:tblLook w:val="0000"/>
      </w:tblPr>
      <w:tblGrid>
        <w:gridCol w:w="2163"/>
        <w:gridCol w:w="7033"/>
      </w:tblGrid>
      <w:tr w:rsidTr="00E83FD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t>This field allows for different work environments and conditions that may affect performance. Essential operating conditions that may be present (depending on the work situation, needs of the, accessibility of the item, and local industry and regi</w:t>
            </w:r>
            <w:r w:rsidRPr="00E3604D">
              <w:t>onal contexts) are included.</w:t>
            </w:r>
          </w:p>
        </w:tc>
      </w:tr>
      <w:tr w:rsidTr="00E83F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Standards, codes, procedures and/or workplace requirements include the latest version of one or more of:</w:t>
            </w:r>
          </w:p>
          <w:p w:rsidR="00000000" w:rsidRPr="00E3604D" w:rsidP="00E3604D">
            <w:pPr>
              <w:pStyle w:val="ListBullet"/>
            </w:pPr>
            <w:r w:rsidRPr="00E3604D">
              <w:t>Australian and international standards covering the requirements for the competence of testing and calibration laboratories; laboratory safety; quality management and environmental management; and labelling, storage, transport and disposal of hazardous mat</w:t>
            </w:r>
            <w:r w:rsidRPr="00E3604D">
              <w:t>erials</w:t>
            </w:r>
          </w:p>
          <w:p w:rsidR="00000000" w:rsidRPr="00E3604D" w:rsidP="00E3604D">
            <w:pPr>
              <w:pStyle w:val="ListBullet"/>
            </w:pPr>
            <w:r w:rsidRPr="00E3604D">
              <w:t>national work health and safety (WHS) standards and codes of practice, and national environmental protection measures</w:t>
            </w:r>
          </w:p>
          <w:p w:rsidR="00000000" w:rsidRPr="00E3604D" w:rsidP="00E3604D">
            <w:pPr>
              <w:pStyle w:val="ListBullet"/>
            </w:pPr>
            <w:r w:rsidRPr="00E3604D">
              <w:t>specific codes, guidelines and procedures, such as Australian Dangerous Goods Code, Australia Post Guides and International Air Tra</w:t>
            </w:r>
            <w:r w:rsidRPr="00E3604D">
              <w:t>nsport Association (IATA) Regulations</w:t>
            </w:r>
          </w:p>
          <w:p w:rsidR="00000000" w:rsidRPr="00E3604D" w:rsidP="00E3604D">
            <w:pPr>
              <w:pStyle w:val="ListBullet"/>
            </w:pPr>
            <w:r w:rsidRPr="00E3604D">
              <w:t>workplace documents, such as standard operating procedures (SOPs); material safety data sheets (MSDS); safety procedures for specific materials and equipment; material, production and product specifications; production</w:t>
            </w:r>
            <w:r w:rsidRPr="00E3604D">
              <w:t xml:space="preserve"> and laboratory schedules; workplace recording and reporting procedures; spillage and waste containment and disposal protocols; maps and site plans; protocols regarding customer liaison and use of communication devices; vehicle log books and incident/accid</w:t>
            </w:r>
            <w:r w:rsidRPr="00E3604D">
              <w:t>ent report forms</w:t>
            </w:r>
          </w:p>
          <w:p w:rsidR="00000000" w:rsidP="00E3604D">
            <w:pPr>
              <w:pStyle w:val="BodyText"/>
              <w:rPr>
                <w:lang w:val="en-NZ"/>
              </w:rPr>
            </w:pPr>
          </w:p>
        </w:tc>
      </w:tr>
      <w:tr w:rsidTr="00E83F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Workplace requirements for the transport of samples and/or equipment</w:t>
            </w:r>
          </w:p>
        </w:tc>
        <w:tc>
          <w:tcPr>
            <w:tcW w:w="0" w:type="auto"/>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Workplace requirements for the transport of samples and/or equipment include, but are not limited to, one or more of:</w:t>
            </w:r>
          </w:p>
          <w:p w:rsidR="00000000" w:rsidRPr="00E3604D" w:rsidP="00E3604D">
            <w:pPr>
              <w:pStyle w:val="ListBullet"/>
            </w:pPr>
            <w:r w:rsidRPr="00E3604D">
              <w:t>using appropriate sample containers (glass, plastic and opaque) and preservatives</w:t>
            </w:r>
          </w:p>
          <w:p w:rsidR="00000000" w:rsidRPr="00E3604D" w:rsidP="00E3604D">
            <w:pPr>
              <w:pStyle w:val="ListBullet"/>
            </w:pPr>
            <w:r w:rsidRPr="00E3604D">
              <w:t>using appropriate sample and equipment boxes (insulated, shockproof and waterproof)</w:t>
            </w:r>
          </w:p>
          <w:p w:rsidR="00000000" w:rsidRPr="00E3604D" w:rsidP="00E3604D">
            <w:pPr>
              <w:pStyle w:val="ListBullet"/>
            </w:pPr>
            <w:r w:rsidRPr="00E3604D">
              <w:t>wrapping containers in foil to exclude light</w:t>
            </w:r>
          </w:p>
          <w:p w:rsidR="00000000" w:rsidRPr="00E3604D" w:rsidP="00E3604D">
            <w:pPr>
              <w:pStyle w:val="ListBullet"/>
            </w:pPr>
            <w:r w:rsidRPr="00E3604D">
              <w:t xml:space="preserve">using temperature control, which may involve </w:t>
            </w:r>
            <w:r w:rsidRPr="00E3604D">
              <w:t>prevention of direct contact between the sample and coolant</w:t>
            </w:r>
          </w:p>
          <w:p w:rsidR="00000000" w:rsidRPr="00E3604D" w:rsidP="00E3604D">
            <w:pPr>
              <w:pStyle w:val="ListBullet"/>
            </w:pPr>
            <w:r w:rsidRPr="00E3604D">
              <w:t>restraining containers to prevent movement</w:t>
            </w:r>
          </w:p>
          <w:p w:rsidR="00000000" w:rsidRPr="00E3604D" w:rsidP="00E3604D">
            <w:pPr>
              <w:pStyle w:val="ListBullet"/>
            </w:pPr>
            <w:r w:rsidRPr="00E3604D">
              <w:t>checking sample viability during transport while avoiding unnecessary handling</w:t>
            </w:r>
          </w:p>
          <w:p w:rsidR="00000000" w:rsidP="00E3604D">
            <w:pPr>
              <w:pStyle w:val="BodyText"/>
              <w:rPr>
                <w:lang w:val="en-NZ"/>
              </w:rPr>
            </w:pPr>
          </w:p>
        </w:tc>
      </w:tr>
      <w:tr w:rsidTr="00E83F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Work safety procedures</w:t>
            </w:r>
          </w:p>
        </w:tc>
        <w:tc>
          <w:tcPr>
            <w:tcW w:w="0" w:type="auto"/>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Work safety procedures include, but are not limit</w:t>
            </w:r>
            <w:r w:rsidRPr="00E3604D">
              <w:t>ed to, one or more of:</w:t>
            </w:r>
          </w:p>
          <w:p w:rsidR="00000000" w:rsidRPr="00E3604D" w:rsidP="00E3604D">
            <w:pPr>
              <w:pStyle w:val="ListBullet"/>
            </w:pPr>
            <w:r w:rsidRPr="00E3604D">
              <w:t>using safe vehicle driving practices</w:t>
            </w:r>
          </w:p>
          <w:p w:rsidR="00000000" w:rsidRPr="00E3604D" w:rsidP="00E3604D">
            <w:pPr>
              <w:pStyle w:val="ListBullet"/>
            </w:pPr>
            <w:r w:rsidRPr="00E3604D">
              <w:t>handling, labelling and storing hazardous material and equipment in accordance with labels, MSDS, manufacturer instructions and workplace procedures and regulations, and signage</w:t>
            </w:r>
          </w:p>
          <w:p w:rsidR="00000000" w:rsidRPr="00E3604D" w:rsidP="00E3604D">
            <w:pPr>
              <w:pStyle w:val="ListBullet"/>
            </w:pPr>
            <w:r w:rsidRPr="00E3604D">
              <w:t>using PPE</w:t>
            </w:r>
          </w:p>
          <w:p w:rsidR="00000000" w:rsidRPr="00E3604D" w:rsidP="00E3604D">
            <w:pPr>
              <w:pStyle w:val="ListBullet"/>
            </w:pPr>
            <w:r w:rsidRPr="00E3604D">
              <w:t>regular cleaning and/or decontamination of equipment and vehicle</w:t>
            </w:r>
          </w:p>
          <w:p w:rsidR="00000000" w:rsidRPr="00E3604D" w:rsidP="00E3604D">
            <w:pPr>
              <w:pStyle w:val="ListBullet"/>
            </w:pPr>
            <w:r w:rsidRPr="00E3604D">
              <w:t>containing and cleaning up spillage or breakages</w:t>
            </w:r>
          </w:p>
          <w:p w:rsidR="00000000" w:rsidRPr="00E3604D" w:rsidP="00E3604D">
            <w:pPr>
              <w:pStyle w:val="ListBullet"/>
            </w:pPr>
            <w:r w:rsidRPr="00E3604D">
              <w:t>using appropriate techniques and equipment to safely dispose of waste materials</w:t>
            </w:r>
          </w:p>
          <w:p w:rsidR="00000000" w:rsidP="00E3604D">
            <w:pPr>
              <w:pStyle w:val="BodyText"/>
              <w:rPr>
                <w:lang w:val="en-NZ"/>
              </w:rPr>
            </w:pPr>
          </w:p>
        </w:tc>
      </w:tr>
      <w:tr w:rsidTr="00E83F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3604D">
            <w:pPr>
              <w:pStyle w:val="BodyText"/>
              <w:rPr>
                <w:lang w:val="en-NZ"/>
              </w:rPr>
            </w:pPr>
            <w:r w:rsidRPr="00E3604D">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3604D" w:rsidP="00E3604D">
            <w:pPr>
              <w:pStyle w:val="BodyText"/>
            </w:pPr>
            <w:r w:rsidRPr="00E3604D">
              <w:t>WHS and envir</w:t>
            </w:r>
            <w:r w:rsidRPr="00E3604D">
              <w:t>onmental management requirements include:</w:t>
            </w:r>
          </w:p>
          <w:p w:rsidR="00000000" w:rsidRPr="00E3604D" w:rsidP="00E3604D">
            <w:pPr>
              <w:pStyle w:val="BodyText"/>
            </w:pPr>
            <w:r w:rsidRPr="00E3604D">
              <w:rPr>
                <w:rStyle w:val="Symbols"/>
              </w:rPr>
              <w:t></w:t>
            </w:r>
            <w:r w:rsidRPr="00E3604D">
              <w:rPr>
                <w:rStyle w:val="Symbols"/>
              </w:rPr>
              <w:tab/>
            </w:r>
            <w:r w:rsidRPr="00E3604D">
              <w:t>complying with WHS and environmental management requirements at all times, which may be imposed through state/territory or federal legislation. These requirements must not be compromised at any time</w:t>
            </w:r>
          </w:p>
          <w:p w:rsidR="00000000" w:rsidRPr="00E3604D" w:rsidP="00E3604D">
            <w:pPr>
              <w:pStyle w:val="BodyText"/>
            </w:pPr>
            <w:r w:rsidRPr="00E3604D">
              <w:rPr>
                <w:rStyle w:val="Symbols"/>
              </w:rPr>
              <w:t></w:t>
            </w:r>
            <w:r w:rsidRPr="00E3604D">
              <w:rPr>
                <w:rStyle w:val="Symbols"/>
              </w:rPr>
              <w:tab/>
            </w:r>
            <w:r w:rsidRPr="00E3604D">
              <w:t>applying st</w:t>
            </w:r>
            <w:r w:rsidRPr="00E3604D">
              <w:t>andard precautions relating to the potentially hazardous nature of samples</w:t>
            </w:r>
          </w:p>
          <w:p w:rsidR="00000000" w:rsidRPr="00E3604D" w:rsidP="00E3604D">
            <w:pPr>
              <w:pStyle w:val="ListBullet"/>
            </w:pPr>
            <w:r w:rsidRPr="00E3604D">
              <w:t xml:space="preserve">accessing and applying current industry understanding of infection control issued by the National </w:t>
            </w:r>
            <w:r w:rsidRPr="00E3604D">
              <w:t>Health and Medical Research Council (NHMRC) and State and Territory Departments of Health, where relevant</w:t>
            </w:r>
          </w:p>
        </w:tc>
      </w:tr>
    </w:tbl>
    <w:p w:rsidR="00000000" w:rsidRPr="00E3604D" w:rsidP="00E3604D">
      <w:pPr>
        <w:pStyle w:val="BodyText"/>
      </w:pPr>
    </w:p>
    <w:p w:rsidR="00000000" w:rsidRPr="00E3604D" w:rsidP="00E3604D">
      <w:pPr>
        <w:pStyle w:val="AllowPageBreak"/>
      </w:pPr>
    </w:p>
    <w:p w:rsidR="00000000" w:rsidRPr="00E3604D" w:rsidP="00E3604D">
      <w:pPr>
        <w:pStyle w:val="Heading1"/>
      </w:pPr>
      <w:bookmarkStart w:id="9" w:name="O_985596"/>
      <w:bookmarkEnd w:id="9"/>
      <w:r w:rsidRPr="00E3604D">
        <w:t>Unit Mapping Information</w:t>
      </w:r>
    </w:p>
    <w:p w:rsidR="00000000" w:rsidRPr="00E3604D" w:rsidP="00E83FD0">
      <w:pPr>
        <w:pStyle w:val="BodyText"/>
      </w:pPr>
      <w:r w:rsidRPr="00E3604D">
        <w:t>Equivalent to MSL952002 Handle and transport samples or equipment, Release 1</w:t>
      </w:r>
    </w:p>
    <w:p w:rsidR="00000000" w:rsidRPr="00E3604D" w:rsidP="00E3604D">
      <w:pPr>
        <w:pStyle w:val="Heading1"/>
      </w:pPr>
      <w:bookmarkStart w:id="10" w:name="O_985605"/>
      <w:bookmarkEnd w:id="10"/>
      <w:r w:rsidRPr="00E3604D">
        <w:t>Links</w:t>
      </w:r>
    </w:p>
    <w:p w:rsidR="00000000" w:rsidRPr="00E3604D" w:rsidP="00E83FD0">
      <w:pPr>
        <w:pStyle w:val="BodyText"/>
      </w:pPr>
      <w:r w:rsidRPr="00E3604D">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F45DC2">
        <w:rPr>
          <w:rStyle w:val="Hyperlink"/>
        </w:rPr>
        <w:t>https://vetnet.gov.au/Pages/TrainingDocs.aspx?q=5c63a03b-4a6b-4ae5-9560-1e3c5f462baa</w:t>
      </w:r>
      <w:r>
        <w:fldChar w:fldCharType="end"/>
      </w:r>
    </w:p>
    <w:p w:rsidR="00000000" w:rsidRPr="00E3604D" w:rsidP="00E3604D"/>
    <w:sectPr w:rsidSect="00E360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4D" w:rsidRPr="00E83FD0" w:rsidP="00E83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D0" w:rsidP="00E36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3FD0" w:rsidP="00E360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83FD0" w:rsidP="00E36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04D" w:rsidRPr="00E83FD0" w:rsidP="00E83F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D0" w:rsidRPr="002D2AF8" w:rsidP="00E3604D">
    <w:pPr>
      <w:pStyle w:val="Header"/>
      <w:framePr w:wrap="around"/>
    </w:pPr>
    <w:r>
      <w:fldChar w:fldCharType="begin"/>
    </w:r>
    <w:r>
      <w:instrText xml:space="preserve"> TITLE   \* MERGEFORMAT </w:instrText>
    </w:r>
    <w:r>
      <w:fldChar w:fldCharType="separate"/>
    </w:r>
    <w:r>
      <w:t>MSL952002 Handle and transport samples or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83FD0" w:rsidP="00E36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A6C1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8C4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04D"/>
    <w:pPr>
      <w:spacing w:before="360" w:after="60"/>
      <w:outlineLvl w:val="0"/>
    </w:pPr>
    <w:rPr>
      <w:sz w:val="32"/>
    </w:rPr>
  </w:style>
  <w:style w:type="paragraph" w:styleId="Heading2">
    <w:name w:val="heading 2"/>
    <w:basedOn w:val="HeadingBase"/>
    <w:next w:val="BodyText"/>
    <w:link w:val="Heading2Char"/>
    <w:qFormat/>
    <w:rsid w:val="00E3604D"/>
    <w:pPr>
      <w:keepLines/>
      <w:spacing w:before="240" w:after="120"/>
      <w:outlineLvl w:val="1"/>
    </w:pPr>
    <w:rPr>
      <w:sz w:val="28"/>
      <w:szCs w:val="40"/>
    </w:rPr>
  </w:style>
  <w:style w:type="paragraph" w:styleId="Heading3">
    <w:name w:val="heading 3"/>
    <w:basedOn w:val="HeadingBase"/>
    <w:next w:val="BodyText"/>
    <w:link w:val="Heading3Char"/>
    <w:qFormat/>
    <w:rsid w:val="00E3604D"/>
    <w:pPr>
      <w:spacing w:before="180" w:after="120"/>
      <w:outlineLvl w:val="2"/>
    </w:pPr>
    <w:rPr>
      <w:spacing w:val="-10"/>
      <w:kern w:val="32"/>
    </w:rPr>
  </w:style>
  <w:style w:type="paragraph" w:styleId="Heading4">
    <w:name w:val="heading 4"/>
    <w:basedOn w:val="HeadingBase"/>
    <w:next w:val="BodyText"/>
    <w:link w:val="Heading4Char"/>
    <w:qFormat/>
    <w:rsid w:val="00E3604D"/>
    <w:pPr>
      <w:spacing w:before="160" w:after="120"/>
      <w:outlineLvl w:val="3"/>
    </w:pPr>
    <w:rPr>
      <w:sz w:val="22"/>
    </w:rPr>
  </w:style>
  <w:style w:type="paragraph" w:styleId="Heading5">
    <w:name w:val="heading 5"/>
    <w:basedOn w:val="HeadingBase"/>
    <w:next w:val="Normal"/>
    <w:link w:val="Heading5Char"/>
    <w:qFormat/>
    <w:rsid w:val="00E3604D"/>
    <w:pPr>
      <w:spacing w:before="80"/>
      <w:outlineLvl w:val="4"/>
    </w:pPr>
    <w:rPr>
      <w:color w:val="918585"/>
      <w:sz w:val="20"/>
    </w:rPr>
  </w:style>
  <w:style w:type="paragraph" w:styleId="Heading6">
    <w:name w:val="heading 6"/>
    <w:basedOn w:val="HeadingBase"/>
    <w:next w:val="Normal"/>
    <w:link w:val="Heading6Char"/>
    <w:qFormat/>
    <w:rsid w:val="00E3604D"/>
    <w:pPr>
      <w:spacing w:before="60"/>
      <w:outlineLvl w:val="5"/>
    </w:pPr>
    <w:rPr>
      <w:color w:val="918585"/>
      <w:sz w:val="20"/>
    </w:rPr>
  </w:style>
  <w:style w:type="paragraph" w:styleId="Heading7">
    <w:name w:val="heading 7"/>
    <w:basedOn w:val="Normal"/>
    <w:next w:val="Normal"/>
    <w:link w:val="Heading7Char"/>
    <w:qFormat/>
    <w:rsid w:val="00E3604D"/>
    <w:pPr>
      <w:ind w:left="720"/>
      <w:outlineLvl w:val="6"/>
    </w:pPr>
    <w:rPr>
      <w:i/>
    </w:rPr>
  </w:style>
  <w:style w:type="paragraph" w:styleId="Heading8">
    <w:name w:val="heading 8"/>
    <w:basedOn w:val="Normal"/>
    <w:next w:val="Normal"/>
    <w:link w:val="Heading8Char"/>
    <w:qFormat/>
    <w:rsid w:val="00E3604D"/>
    <w:pPr>
      <w:ind w:left="720"/>
      <w:outlineLvl w:val="7"/>
    </w:pPr>
    <w:rPr>
      <w:i/>
    </w:rPr>
  </w:style>
  <w:style w:type="paragraph" w:styleId="Heading9">
    <w:name w:val="heading 9"/>
    <w:basedOn w:val="Normal"/>
    <w:next w:val="Normal"/>
    <w:link w:val="Heading9Char"/>
    <w:qFormat/>
    <w:rsid w:val="00E3604D"/>
    <w:pPr>
      <w:ind w:left="720"/>
      <w:outlineLvl w:val="8"/>
    </w:pPr>
    <w:rPr>
      <w:i/>
    </w:rPr>
  </w:style>
  <w:style w:type="character" w:default="1" w:styleId="DefaultParagraphFont">
    <w:name w:val="Default Paragraph Font"/>
    <w:uiPriority w:val="1"/>
    <w:unhideWhenUsed/>
    <w:rsid w:val="00E36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04D"/>
  </w:style>
  <w:style w:type="character" w:customStyle="1" w:styleId="Heading1Char">
    <w:name w:val="Heading 1 Char"/>
    <w:basedOn w:val="DefaultParagraphFont"/>
    <w:link w:val="Heading1"/>
    <w:rsid w:val="00E3604D"/>
    <w:rPr>
      <w:rFonts w:ascii="Times New Roman" w:eastAsia="Times New Roman" w:hAnsi="Times New Roman" w:cs="Times New Roman"/>
      <w:b/>
      <w:sz w:val="32"/>
      <w:szCs w:val="20"/>
      <w:lang w:eastAsia="en-US"/>
    </w:rPr>
  </w:style>
  <w:style w:type="paragraph" w:styleId="BodyText">
    <w:name w:val="Body Text"/>
    <w:basedOn w:val="Normal"/>
    <w:link w:val="BodyTextChar"/>
    <w:rsid w:val="00E36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04D"/>
    <w:rPr>
      <w:rFonts w:ascii="Times New Roman" w:eastAsia="Times New Roman" w:hAnsi="Times New Roman" w:cs="Times New Roman"/>
      <w:sz w:val="24"/>
      <w:lang w:eastAsia="en-US"/>
    </w:rPr>
  </w:style>
  <w:style w:type="paragraph" w:styleId="ListBullet">
    <w:name w:val="List Bullet"/>
    <w:basedOn w:val="List"/>
    <w:rsid w:val="00E3604D"/>
    <w:pPr>
      <w:numPr>
        <w:numId w:val="11"/>
      </w:numPr>
      <w:tabs>
        <w:tab w:val="clear" w:pos="340"/>
      </w:tabs>
      <w:spacing w:before="40" w:after="40"/>
    </w:pPr>
  </w:style>
  <w:style w:type="character" w:customStyle="1" w:styleId="SpecialBold">
    <w:name w:val="Special Bold"/>
    <w:basedOn w:val="DefaultParagraphFont"/>
    <w:rsid w:val="00E3604D"/>
    <w:rPr>
      <w:b/>
      <w:spacing w:val="0"/>
    </w:rPr>
  </w:style>
  <w:style w:type="paragraph" w:customStyle="1" w:styleId="SuperHeading">
    <w:name w:val="SuperHeading"/>
    <w:basedOn w:val="Normal"/>
    <w:rsid w:val="00E3604D"/>
    <w:pPr>
      <w:spacing w:before="240" w:after="120"/>
      <w:outlineLvl w:val="0"/>
    </w:pPr>
    <w:rPr>
      <w:rFonts w:ascii="Times New Roman" w:hAnsi="Times New Roman"/>
      <w:b/>
      <w:sz w:val="32"/>
    </w:rPr>
  </w:style>
  <w:style w:type="paragraph" w:customStyle="1" w:styleId="AllowPageBreak">
    <w:name w:val="AllowPageBreak"/>
    <w:rsid w:val="00E360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3604D"/>
    <w:rPr>
      <w:rFonts w:ascii="Symbol" w:hAnsi="Symbol"/>
    </w:rPr>
  </w:style>
  <w:style w:type="character" w:customStyle="1" w:styleId="Heading2Char">
    <w:name w:val="Heading 2 Char"/>
    <w:basedOn w:val="DefaultParagraphFont"/>
    <w:link w:val="Heading2"/>
    <w:rsid w:val="00E36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04D"/>
    <w:rPr>
      <w:rFonts w:ascii="Courier New" w:eastAsia="Times New Roman" w:hAnsi="Courier New" w:cs="Times New Roman"/>
      <w:i/>
      <w:szCs w:val="20"/>
      <w:lang w:eastAsia="en-US"/>
    </w:rPr>
  </w:style>
  <w:style w:type="paragraph" w:customStyle="1" w:styleId="HeadingBase">
    <w:name w:val="Heading Base"/>
    <w:rsid w:val="00E36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04D"/>
    <w:pPr>
      <w:tabs>
        <w:tab w:val="right" w:leader="dot" w:pos="9072"/>
      </w:tabs>
      <w:ind w:left="567"/>
    </w:pPr>
    <w:rPr>
      <w:szCs w:val="22"/>
    </w:rPr>
  </w:style>
  <w:style w:type="paragraph" w:customStyle="1" w:styleId="TOCBase">
    <w:name w:val="TOC Base"/>
    <w:rsid w:val="00E36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04D"/>
    <w:pPr>
      <w:tabs>
        <w:tab w:val="right" w:leader="dot" w:pos="9072"/>
      </w:tabs>
      <w:spacing w:before="40" w:after="40"/>
      <w:ind w:left="284"/>
    </w:pPr>
    <w:rPr>
      <w:rFonts w:ascii="Times New Roman" w:hAnsi="Times New Roman"/>
    </w:rPr>
  </w:style>
  <w:style w:type="paragraph" w:styleId="TOC1">
    <w:name w:val="toc 1"/>
    <w:basedOn w:val="TOCBase"/>
    <w:next w:val="Normal"/>
    <w:rsid w:val="00E36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04D"/>
    <w:rPr>
      <w:rFonts w:ascii="Times New Roman" w:eastAsia="Times New Roman" w:hAnsi="Times New Roman" w:cs="Times New Roman"/>
      <w:sz w:val="16"/>
      <w:lang w:eastAsia="en-US"/>
    </w:rPr>
  </w:style>
  <w:style w:type="paragraph" w:styleId="Title">
    <w:name w:val="Title"/>
    <w:basedOn w:val="HeadingBase"/>
    <w:link w:val="TitleChar"/>
    <w:qFormat/>
    <w:rsid w:val="00E3604D"/>
    <w:pPr>
      <w:spacing w:before="5040"/>
      <w:jc w:val="center"/>
    </w:pPr>
    <w:rPr>
      <w:sz w:val="48"/>
      <w:szCs w:val="72"/>
      <w:lang w:val="en-US"/>
    </w:rPr>
  </w:style>
  <w:style w:type="character" w:customStyle="1" w:styleId="TitleChar">
    <w:name w:val="Title Char"/>
    <w:basedOn w:val="DefaultParagraphFont"/>
    <w:link w:val="Title"/>
    <w:rsid w:val="00E36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04D"/>
    <w:pPr>
      <w:tabs>
        <w:tab w:val="left" w:pos="3600"/>
        <w:tab w:val="left" w:pos="3958"/>
      </w:tabs>
    </w:pPr>
  </w:style>
  <w:style w:type="paragraph" w:styleId="List">
    <w:name w:val="List"/>
    <w:basedOn w:val="BodyText"/>
    <w:next w:val="BodyText"/>
    <w:rsid w:val="00E3604D"/>
    <w:pPr>
      <w:tabs>
        <w:tab w:val="left" w:pos="340"/>
      </w:tabs>
      <w:spacing w:before="60" w:after="60"/>
      <w:ind w:left="340" w:hanging="340"/>
    </w:pPr>
  </w:style>
  <w:style w:type="paragraph" w:customStyle="1" w:styleId="Note">
    <w:name w:val="Note"/>
    <w:basedOn w:val="BodyText"/>
    <w:rsid w:val="00E36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04D"/>
    <w:pPr>
      <w:framePr w:wrap="auto" w:hAnchor="text" w:y="6049"/>
    </w:pPr>
    <w:rPr>
      <w:color w:val="000000"/>
      <w:sz w:val="40"/>
    </w:rPr>
  </w:style>
  <w:style w:type="paragraph" w:customStyle="1" w:styleId="TOCTitle">
    <w:name w:val="TOCTitle"/>
    <w:basedOn w:val="Heading1"/>
    <w:rsid w:val="00E3604D"/>
    <w:pPr>
      <w:spacing w:after="240"/>
      <w:jc w:val="center"/>
      <w:outlineLvl w:val="9"/>
    </w:pPr>
    <w:rPr>
      <w:caps/>
    </w:rPr>
  </w:style>
  <w:style w:type="paragraph" w:customStyle="1" w:styleId="Version">
    <w:name w:val="Version"/>
    <w:rsid w:val="00E360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604D"/>
    <w:pPr>
      <w:numPr>
        <w:numId w:val="12"/>
      </w:numPr>
      <w:tabs>
        <w:tab w:val="clear" w:pos="680"/>
      </w:tabs>
    </w:pPr>
  </w:style>
  <w:style w:type="paragraph" w:styleId="Index1">
    <w:name w:val="index 1"/>
    <w:basedOn w:val="Normal"/>
    <w:next w:val="Normal"/>
    <w:semiHidden/>
    <w:rsid w:val="00E3604D"/>
    <w:pPr>
      <w:keepNext w:val="0"/>
      <w:tabs>
        <w:tab w:val="right" w:pos="4176"/>
      </w:tabs>
      <w:ind w:left="198" w:hanging="198"/>
    </w:pPr>
    <w:rPr>
      <w:rFonts w:ascii="Garamond" w:hAnsi="Garamond"/>
    </w:rPr>
  </w:style>
  <w:style w:type="paragraph" w:styleId="IndexHeading">
    <w:name w:val="index heading"/>
    <w:basedOn w:val="Normal"/>
    <w:next w:val="Index1"/>
    <w:semiHidden/>
    <w:rsid w:val="00E3604D"/>
    <w:pPr>
      <w:spacing w:before="120" w:after="120"/>
    </w:pPr>
    <w:rPr>
      <w:rFonts w:ascii="Arial" w:hAnsi="Arial"/>
      <w:b/>
      <w:color w:val="918585"/>
      <w:sz w:val="24"/>
    </w:rPr>
  </w:style>
  <w:style w:type="paragraph" w:styleId="Header">
    <w:name w:val="header"/>
    <w:basedOn w:val="Normal"/>
    <w:link w:val="HeaderChar"/>
    <w:rsid w:val="00E36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04D"/>
    <w:rPr>
      <w:rFonts w:ascii="Times New Roman" w:eastAsia="Times New Roman" w:hAnsi="Times New Roman" w:cs="Times New Roman"/>
      <w:sz w:val="16"/>
      <w:szCs w:val="20"/>
      <w:lang w:val="en-GB" w:eastAsia="en-US"/>
    </w:rPr>
  </w:style>
  <w:style w:type="paragraph" w:customStyle="1" w:styleId="Chapter">
    <w:name w:val="Chapter"/>
    <w:basedOn w:val="Normal"/>
    <w:rsid w:val="00E3604D"/>
    <w:pPr>
      <w:spacing w:before="240"/>
    </w:pPr>
    <w:rPr>
      <w:rFonts w:ascii="Times New Roman" w:hAnsi="Times New Roman"/>
      <w:smallCaps/>
      <w:spacing w:val="80"/>
      <w:sz w:val="28"/>
    </w:rPr>
  </w:style>
  <w:style w:type="paragraph" w:customStyle="1" w:styleId="InChapter">
    <w:name w:val="InChapter"/>
    <w:basedOn w:val="Heading3"/>
    <w:rsid w:val="00E3604D"/>
    <w:pPr>
      <w:spacing w:after="240"/>
      <w:outlineLvl w:val="9"/>
    </w:pPr>
    <w:rPr>
      <w:noProof/>
    </w:rPr>
  </w:style>
  <w:style w:type="paragraph" w:styleId="Index2">
    <w:name w:val="index 2"/>
    <w:basedOn w:val="Normal"/>
    <w:next w:val="Normal"/>
    <w:semiHidden/>
    <w:rsid w:val="00E3604D"/>
    <w:pPr>
      <w:tabs>
        <w:tab w:val="right" w:pos="4176"/>
      </w:tabs>
      <w:ind w:left="568" w:hanging="284"/>
    </w:pPr>
    <w:rPr>
      <w:rFonts w:ascii="Garamond" w:hAnsi="Garamond"/>
    </w:rPr>
  </w:style>
  <w:style w:type="paragraph" w:customStyle="1" w:styleId="Byline">
    <w:name w:val="Byline"/>
    <w:rsid w:val="00E36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04D"/>
    <w:pPr>
      <w:tabs>
        <w:tab w:val="clear" w:pos="3600"/>
        <w:tab w:val="clear" w:pos="3958"/>
      </w:tabs>
      <w:jc w:val="right"/>
    </w:pPr>
  </w:style>
  <w:style w:type="character" w:styleId="Emphasis">
    <w:name w:val="Emphasis"/>
    <w:basedOn w:val="DefaultParagraphFont"/>
    <w:qFormat/>
    <w:rsid w:val="00E3604D"/>
    <w:rPr>
      <w:i/>
    </w:rPr>
  </w:style>
  <w:style w:type="paragraph" w:styleId="Caption">
    <w:name w:val="caption"/>
    <w:basedOn w:val="BodyText"/>
    <w:next w:val="Normal"/>
    <w:qFormat/>
    <w:rsid w:val="00E3604D"/>
    <w:pPr>
      <w:framePr w:w="2268" w:hSpace="181" w:vSpace="181" w:wrap="around" w:vAnchor="text" w:hAnchor="page" w:x="1135" w:y="285" w:anchorLock="1"/>
    </w:pPr>
    <w:rPr>
      <w:i/>
    </w:rPr>
  </w:style>
  <w:style w:type="paragraph" w:customStyle="1" w:styleId="MiniTOCTitle">
    <w:name w:val="MiniTOCTitle"/>
    <w:basedOn w:val="Heading4"/>
    <w:rsid w:val="00E3604D"/>
    <w:pPr>
      <w:spacing w:before="240"/>
      <w:outlineLvl w:val="9"/>
    </w:pPr>
    <w:rPr>
      <w:noProof/>
      <w:sz w:val="24"/>
    </w:rPr>
  </w:style>
  <w:style w:type="paragraph" w:customStyle="1" w:styleId="MiniTOCItem">
    <w:name w:val="MiniTOCItem"/>
    <w:basedOn w:val="ListBullet"/>
    <w:rsid w:val="00E3604D"/>
    <w:pPr>
      <w:numPr>
        <w:numId w:val="0"/>
      </w:numPr>
      <w:tabs>
        <w:tab w:val="right" w:leader="dot" w:pos="6521"/>
      </w:tabs>
      <w:spacing w:before="0" w:after="0"/>
    </w:pPr>
  </w:style>
  <w:style w:type="paragraph" w:customStyle="1" w:styleId="TOFTitle">
    <w:name w:val="TOFTitle"/>
    <w:basedOn w:val="TOCTitle"/>
    <w:rsid w:val="00E3604D"/>
  </w:style>
  <w:style w:type="paragraph" w:styleId="TableofFigures">
    <w:name w:val="table of figures"/>
    <w:basedOn w:val="Normal"/>
    <w:next w:val="Normal"/>
    <w:semiHidden/>
    <w:rsid w:val="00E3604D"/>
    <w:pPr>
      <w:tabs>
        <w:tab w:val="right" w:leader="dot" w:pos="9072"/>
      </w:tabs>
      <w:ind w:left="970" w:hanging="403"/>
    </w:pPr>
    <w:rPr>
      <w:rFonts w:ascii="Times New Roman" w:hAnsi="Times New Roman"/>
      <w:b/>
    </w:rPr>
  </w:style>
  <w:style w:type="paragraph" w:styleId="ListNumber">
    <w:name w:val="List Number"/>
    <w:basedOn w:val="List"/>
    <w:rsid w:val="00E3604D"/>
    <w:pPr>
      <w:numPr>
        <w:numId w:val="14"/>
      </w:numPr>
      <w:tabs>
        <w:tab w:val="clear" w:pos="340"/>
      </w:tabs>
    </w:pPr>
  </w:style>
  <w:style w:type="character" w:customStyle="1" w:styleId="WingdingSymbols">
    <w:name w:val="Wingding Symbols"/>
    <w:rsid w:val="00E3604D"/>
    <w:rPr>
      <w:rFonts w:ascii="Wingdings" w:hAnsi="Wingdings"/>
    </w:rPr>
  </w:style>
  <w:style w:type="paragraph" w:customStyle="1" w:styleId="TableHeading">
    <w:name w:val="Table Heading"/>
    <w:basedOn w:val="HeadingBase"/>
    <w:rsid w:val="00E3604D"/>
    <w:pPr>
      <w:keepLines/>
      <w:pBdr>
        <w:bottom w:val="single" w:sz="6" w:space="1" w:color="918585"/>
      </w:pBdr>
      <w:spacing w:before="240"/>
    </w:pPr>
  </w:style>
  <w:style w:type="character" w:customStyle="1" w:styleId="HotSpot">
    <w:name w:val="HotSpot"/>
    <w:rsid w:val="00E3604D"/>
    <w:rPr>
      <w:color w:val="0033CC"/>
      <w:u w:val="none"/>
    </w:rPr>
  </w:style>
  <w:style w:type="paragraph" w:customStyle="1" w:styleId="BodyTextRight">
    <w:name w:val="Body Text Right"/>
    <w:basedOn w:val="BodyText"/>
    <w:rsid w:val="00E3604D"/>
    <w:pPr>
      <w:spacing w:before="0" w:after="0"/>
      <w:jc w:val="right"/>
    </w:pPr>
  </w:style>
  <w:style w:type="paragraph" w:styleId="Index3">
    <w:name w:val="index 3"/>
    <w:basedOn w:val="ListNumber2"/>
    <w:next w:val="Normal"/>
    <w:semiHidden/>
    <w:rsid w:val="00E3604D"/>
    <w:pPr>
      <w:numPr>
        <w:numId w:val="0"/>
      </w:numPr>
      <w:tabs>
        <w:tab w:val="right" w:leader="dot" w:pos="4176"/>
      </w:tabs>
    </w:pPr>
  </w:style>
  <w:style w:type="paragraph" w:styleId="ListNumber2">
    <w:name w:val="List Number 2"/>
    <w:basedOn w:val="List2"/>
    <w:rsid w:val="00E3604D"/>
    <w:pPr>
      <w:numPr>
        <w:numId w:val="9"/>
      </w:numPr>
      <w:tabs>
        <w:tab w:val="clear" w:pos="1060"/>
      </w:tabs>
    </w:pPr>
  </w:style>
  <w:style w:type="paragraph" w:customStyle="1" w:styleId="MarginNote">
    <w:name w:val="Margin Note"/>
    <w:basedOn w:val="BodyText"/>
    <w:rsid w:val="00E36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04D"/>
    <w:rPr>
      <w:sz w:val="32"/>
    </w:rPr>
  </w:style>
  <w:style w:type="paragraph" w:customStyle="1" w:styleId="HeadingProcedure">
    <w:name w:val="Heading Procedure"/>
    <w:basedOn w:val="HeadingBase"/>
    <w:next w:val="Normal"/>
    <w:rsid w:val="00E3604D"/>
    <w:pPr>
      <w:tabs>
        <w:tab w:val="left" w:pos="0"/>
      </w:tabs>
      <w:spacing w:before="120" w:after="60"/>
    </w:pPr>
    <w:rPr>
      <w:i/>
      <w:color w:val="918585"/>
      <w:sz w:val="22"/>
    </w:rPr>
  </w:style>
  <w:style w:type="paragraph" w:customStyle="1" w:styleId="TableBodyText">
    <w:name w:val="Table Body Text"/>
    <w:basedOn w:val="BodyText"/>
    <w:rsid w:val="00E3604D"/>
    <w:pPr>
      <w:spacing w:before="60" w:after="60"/>
    </w:pPr>
  </w:style>
  <w:style w:type="paragraph" w:styleId="ListContinue">
    <w:name w:val="List Continue"/>
    <w:basedOn w:val="List"/>
    <w:rsid w:val="00E3604D"/>
    <w:pPr>
      <w:ind w:firstLine="0"/>
    </w:pPr>
  </w:style>
  <w:style w:type="paragraph" w:customStyle="1" w:styleId="ListNote">
    <w:name w:val="List Note"/>
    <w:basedOn w:val="List"/>
    <w:rsid w:val="00E3604D"/>
    <w:pPr>
      <w:pBdr>
        <w:top w:val="single" w:sz="6" w:space="2" w:color="918585"/>
        <w:bottom w:val="single" w:sz="6" w:space="2" w:color="918585"/>
      </w:pBdr>
      <w:tabs>
        <w:tab w:val="left" w:pos="1021"/>
      </w:tabs>
      <w:ind w:firstLine="0"/>
    </w:pPr>
  </w:style>
  <w:style w:type="paragraph" w:customStyle="1" w:styleId="Warning">
    <w:name w:val="Warning"/>
    <w:basedOn w:val="BodyText"/>
    <w:rsid w:val="00E3604D"/>
    <w:pPr>
      <w:shd w:val="clear" w:color="auto" w:fill="D9D9D9"/>
      <w:tabs>
        <w:tab w:val="left" w:pos="992"/>
      </w:tabs>
      <w:ind w:left="119" w:right="119"/>
    </w:pPr>
    <w:rPr>
      <w:sz w:val="20"/>
    </w:rPr>
  </w:style>
  <w:style w:type="paragraph" w:customStyle="1" w:styleId="MarginIcons">
    <w:name w:val="Margin Icons"/>
    <w:basedOn w:val="BodyText"/>
    <w:rsid w:val="00E36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04D"/>
    <w:rPr>
      <w:rFonts w:ascii="Courier New" w:hAnsi="Courier New"/>
    </w:rPr>
  </w:style>
  <w:style w:type="paragraph" w:customStyle="1" w:styleId="NoteBullet">
    <w:name w:val="Note Bullet"/>
    <w:basedOn w:val="Note"/>
    <w:rsid w:val="00E3604D"/>
    <w:pPr>
      <w:tabs>
        <w:tab w:val="clear" w:pos="680"/>
      </w:tabs>
      <w:spacing w:before="60" w:after="60"/>
    </w:pPr>
  </w:style>
  <w:style w:type="paragraph" w:customStyle="1" w:styleId="SubHeading2">
    <w:name w:val="SubHeading2"/>
    <w:basedOn w:val="HeadingBase"/>
    <w:rsid w:val="00E3604D"/>
    <w:pPr>
      <w:spacing w:before="240" w:after="60"/>
    </w:pPr>
    <w:rPr>
      <w:sz w:val="20"/>
    </w:rPr>
  </w:style>
  <w:style w:type="paragraph" w:customStyle="1" w:styleId="SubHeading1">
    <w:name w:val="SubHeading1"/>
    <w:basedOn w:val="HeadingBase"/>
    <w:rsid w:val="00E3604D"/>
    <w:pPr>
      <w:spacing w:before="240" w:after="60"/>
    </w:pPr>
    <w:rPr>
      <w:color w:val="918585"/>
      <w:sz w:val="22"/>
    </w:rPr>
  </w:style>
  <w:style w:type="paragraph" w:customStyle="1" w:styleId="SideHeading">
    <w:name w:val="Side Heading"/>
    <w:basedOn w:val="HeadingBase"/>
    <w:rsid w:val="00E36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04D"/>
    <w:pPr>
      <w:numPr>
        <w:numId w:val="10"/>
      </w:numPr>
    </w:pPr>
  </w:style>
  <w:style w:type="paragraph" w:styleId="PlainText">
    <w:name w:val="Plain Text"/>
    <w:basedOn w:val="Normal"/>
    <w:link w:val="PlainTextChar"/>
    <w:rsid w:val="00E3604D"/>
    <w:rPr>
      <w:sz w:val="20"/>
    </w:rPr>
  </w:style>
  <w:style w:type="character" w:customStyle="1" w:styleId="PlainTextChar">
    <w:name w:val="Plain Text Char"/>
    <w:basedOn w:val="DefaultParagraphFont"/>
    <w:link w:val="PlainText"/>
    <w:rsid w:val="00E3604D"/>
    <w:rPr>
      <w:rFonts w:ascii="Courier New" w:eastAsia="Times New Roman" w:hAnsi="Courier New" w:cs="Times New Roman"/>
      <w:sz w:val="20"/>
      <w:szCs w:val="20"/>
      <w:lang w:eastAsia="en-US"/>
    </w:rPr>
  </w:style>
  <w:style w:type="character" w:customStyle="1" w:styleId="MenuOption">
    <w:name w:val="Menu Option"/>
    <w:basedOn w:val="DefaultParagraphFont"/>
    <w:rsid w:val="00E3604D"/>
    <w:rPr>
      <w:b/>
      <w:smallCaps/>
    </w:rPr>
  </w:style>
  <w:style w:type="paragraph" w:customStyle="1" w:styleId="TableListNumber">
    <w:name w:val="Table List Number"/>
    <w:basedOn w:val="ListNumber"/>
    <w:rsid w:val="00E3604D"/>
    <w:pPr>
      <w:numPr>
        <w:numId w:val="0"/>
      </w:numPr>
    </w:pPr>
  </w:style>
  <w:style w:type="paragraph" w:styleId="TOC4">
    <w:name w:val="toc 4"/>
    <w:basedOn w:val="TOCBase"/>
    <w:next w:val="Normal"/>
    <w:semiHidden/>
    <w:rsid w:val="00E3604D"/>
    <w:pPr>
      <w:tabs>
        <w:tab w:val="right" w:leader="dot" w:pos="9071"/>
      </w:tabs>
      <w:ind w:left="1701"/>
    </w:pPr>
  </w:style>
  <w:style w:type="paragraph" w:customStyle="1" w:styleId="ListAlpha">
    <w:name w:val="List Alpha"/>
    <w:basedOn w:val="List"/>
    <w:rsid w:val="00E3604D"/>
    <w:pPr>
      <w:numPr>
        <w:numId w:val="8"/>
      </w:numPr>
    </w:pPr>
  </w:style>
  <w:style w:type="paragraph" w:customStyle="1" w:styleId="ListAlpha2">
    <w:name w:val="List Alpha 2"/>
    <w:basedOn w:val="List2"/>
    <w:rsid w:val="00E3604D"/>
    <w:pPr>
      <w:numPr>
        <w:numId w:val="7"/>
      </w:numPr>
    </w:pPr>
  </w:style>
  <w:style w:type="paragraph" w:styleId="List2">
    <w:name w:val="List 2"/>
    <w:basedOn w:val="BodyText"/>
    <w:rsid w:val="00E3604D"/>
    <w:pPr>
      <w:tabs>
        <w:tab w:val="left" w:pos="680"/>
      </w:tabs>
      <w:spacing w:before="60" w:after="60"/>
      <w:ind w:left="680" w:hanging="340"/>
    </w:pPr>
  </w:style>
  <w:style w:type="paragraph" w:styleId="List3">
    <w:name w:val="List 3"/>
    <w:basedOn w:val="BodyText"/>
    <w:rsid w:val="00E3604D"/>
    <w:pPr>
      <w:tabs>
        <w:tab w:val="left" w:pos="1021"/>
      </w:tabs>
      <w:spacing w:before="60" w:after="60"/>
      <w:ind w:left="1020" w:hanging="340"/>
    </w:pPr>
  </w:style>
  <w:style w:type="paragraph" w:styleId="List4">
    <w:name w:val="List 4"/>
    <w:basedOn w:val="BodyText"/>
    <w:rsid w:val="00E3604D"/>
    <w:pPr>
      <w:tabs>
        <w:tab w:val="left" w:pos="1361"/>
      </w:tabs>
      <w:spacing w:before="60" w:after="60"/>
      <w:ind w:left="1361" w:hanging="340"/>
    </w:pPr>
  </w:style>
  <w:style w:type="paragraph" w:styleId="List5">
    <w:name w:val="List 5"/>
    <w:basedOn w:val="BodyText"/>
    <w:rsid w:val="00E3604D"/>
    <w:pPr>
      <w:tabs>
        <w:tab w:val="left" w:pos="1701"/>
      </w:tabs>
      <w:spacing w:before="60" w:after="60"/>
      <w:ind w:left="1701" w:hanging="340"/>
    </w:pPr>
  </w:style>
  <w:style w:type="paragraph" w:styleId="ListBullet3">
    <w:name w:val="List Bullet 3"/>
    <w:basedOn w:val="List3"/>
    <w:rsid w:val="00E3604D"/>
    <w:pPr>
      <w:numPr>
        <w:numId w:val="13"/>
      </w:numPr>
      <w:tabs>
        <w:tab w:val="clear" w:pos="1021"/>
      </w:tabs>
      <w:ind w:left="1037" w:hanging="357"/>
    </w:pPr>
  </w:style>
  <w:style w:type="paragraph" w:styleId="ListBullet4">
    <w:name w:val="List Bullet 4"/>
    <w:basedOn w:val="List4"/>
    <w:rsid w:val="00E3604D"/>
    <w:pPr>
      <w:numPr>
        <w:numId w:val="2"/>
      </w:numPr>
      <w:tabs>
        <w:tab w:val="clear" w:pos="1361"/>
      </w:tabs>
    </w:pPr>
  </w:style>
  <w:style w:type="paragraph" w:styleId="ListBullet5">
    <w:name w:val="List Bullet 5"/>
    <w:basedOn w:val="List5"/>
    <w:rsid w:val="00E3604D"/>
    <w:pPr>
      <w:numPr>
        <w:numId w:val="3"/>
      </w:numPr>
    </w:pPr>
  </w:style>
  <w:style w:type="paragraph" w:styleId="ListContinue2">
    <w:name w:val="List Continue 2"/>
    <w:basedOn w:val="List2"/>
    <w:rsid w:val="00E3604D"/>
    <w:pPr>
      <w:ind w:firstLine="0"/>
    </w:pPr>
  </w:style>
  <w:style w:type="paragraph" w:styleId="ListContinue3">
    <w:name w:val="List Continue 3"/>
    <w:basedOn w:val="List3"/>
    <w:rsid w:val="00E3604D"/>
    <w:pPr>
      <w:ind w:left="1021" w:firstLine="0"/>
    </w:pPr>
  </w:style>
  <w:style w:type="paragraph" w:styleId="ListContinue4">
    <w:name w:val="List Continue 4"/>
    <w:basedOn w:val="List4"/>
    <w:rsid w:val="00E3604D"/>
    <w:pPr>
      <w:ind w:firstLine="0"/>
    </w:pPr>
  </w:style>
  <w:style w:type="paragraph" w:styleId="ListContinue5">
    <w:name w:val="List Continue 5"/>
    <w:basedOn w:val="List5"/>
    <w:rsid w:val="00E3604D"/>
    <w:pPr>
      <w:ind w:firstLine="0"/>
    </w:pPr>
  </w:style>
  <w:style w:type="paragraph" w:styleId="ListNumber3">
    <w:name w:val="List Number 3"/>
    <w:basedOn w:val="List3"/>
    <w:rsid w:val="00E3604D"/>
    <w:pPr>
      <w:numPr>
        <w:numId w:val="4"/>
      </w:numPr>
    </w:pPr>
  </w:style>
  <w:style w:type="paragraph" w:styleId="ListNumber4">
    <w:name w:val="List Number 4"/>
    <w:basedOn w:val="List4"/>
    <w:rsid w:val="00E3604D"/>
    <w:pPr>
      <w:numPr>
        <w:numId w:val="5"/>
      </w:numPr>
    </w:pPr>
  </w:style>
  <w:style w:type="paragraph" w:styleId="ListNumber5">
    <w:name w:val="List Number 5"/>
    <w:basedOn w:val="List5"/>
    <w:rsid w:val="00E3604D"/>
    <w:pPr>
      <w:numPr>
        <w:numId w:val="6"/>
      </w:numPr>
    </w:pPr>
  </w:style>
  <w:style w:type="paragraph" w:styleId="BlockText">
    <w:name w:val="Block Text"/>
    <w:basedOn w:val="Normal"/>
    <w:rsid w:val="00E3604D"/>
    <w:pPr>
      <w:spacing w:after="120"/>
      <w:ind w:left="1440" w:right="1440"/>
    </w:pPr>
  </w:style>
  <w:style w:type="character" w:customStyle="1" w:styleId="Subscript">
    <w:name w:val="Subscript"/>
    <w:basedOn w:val="DefaultParagraphFont"/>
    <w:rsid w:val="00E3604D"/>
    <w:rPr>
      <w:sz w:val="16"/>
      <w:vertAlign w:val="subscript"/>
    </w:rPr>
  </w:style>
  <w:style w:type="character" w:customStyle="1" w:styleId="Superscript">
    <w:name w:val="Superscript"/>
    <w:basedOn w:val="DefaultParagraphFont"/>
    <w:rsid w:val="00E3604D"/>
    <w:rPr>
      <w:sz w:val="16"/>
      <w:vertAlign w:val="superscript"/>
    </w:rPr>
  </w:style>
  <w:style w:type="character" w:customStyle="1" w:styleId="MenuOptions">
    <w:name w:val="Menu Options"/>
    <w:basedOn w:val="DefaultParagraphFont"/>
    <w:rsid w:val="00E3604D"/>
    <w:rPr>
      <w:rFonts w:ascii="Arial Narrow" w:hAnsi="Arial Narrow"/>
      <w:smallCaps/>
    </w:rPr>
  </w:style>
  <w:style w:type="character" w:customStyle="1" w:styleId="Buttons">
    <w:name w:val="Buttons"/>
    <w:basedOn w:val="DefaultParagraphFont"/>
    <w:rsid w:val="00E3604D"/>
    <w:rPr>
      <w:b/>
    </w:rPr>
  </w:style>
  <w:style w:type="character" w:customStyle="1" w:styleId="Underlined">
    <w:name w:val="Underlined"/>
    <w:basedOn w:val="DefaultParagraphFont"/>
    <w:rsid w:val="00E3604D"/>
    <w:rPr>
      <w:u w:val="single"/>
    </w:rPr>
  </w:style>
  <w:style w:type="paragraph" w:customStyle="1" w:styleId="TableBodyTextRight">
    <w:name w:val="Table Body Text Right"/>
    <w:basedOn w:val="TableBodyText"/>
    <w:rsid w:val="00E3604D"/>
    <w:pPr>
      <w:widowControl w:val="0"/>
      <w:autoSpaceDE w:val="0"/>
      <w:autoSpaceDN w:val="0"/>
      <w:adjustRightInd w:val="0"/>
      <w:jc w:val="right"/>
    </w:pPr>
    <w:rPr>
      <w:rFonts w:cs="Arial"/>
      <w:szCs w:val="18"/>
    </w:rPr>
  </w:style>
  <w:style w:type="paragraph" w:customStyle="1" w:styleId="CopyrightText">
    <w:name w:val="Copyright Text"/>
    <w:basedOn w:val="BodyText"/>
    <w:rsid w:val="00E3604D"/>
    <w:rPr>
      <w:sz w:val="18"/>
    </w:rPr>
  </w:style>
  <w:style w:type="paragraph" w:customStyle="1" w:styleId="BodySmallRight">
    <w:name w:val="Body Small Right"/>
    <w:basedOn w:val="BodyTextRight"/>
    <w:rsid w:val="00E3604D"/>
    <w:rPr>
      <w:sz w:val="18"/>
      <w:szCs w:val="18"/>
    </w:rPr>
  </w:style>
  <w:style w:type="paragraph" w:customStyle="1" w:styleId="MarginEdition">
    <w:name w:val="Margin Edition"/>
    <w:basedOn w:val="MarginNote"/>
    <w:rsid w:val="00E3604D"/>
    <w:pPr>
      <w:spacing w:before="0" w:after="0"/>
    </w:pPr>
    <w:rPr>
      <w:rFonts w:ascii="Times New Roman" w:hAnsi="Times New Roman"/>
      <w:color w:val="999999"/>
    </w:rPr>
  </w:style>
  <w:style w:type="paragraph" w:customStyle="1" w:styleId="Spacer">
    <w:name w:val="Spacer"/>
    <w:basedOn w:val="Normal"/>
    <w:rsid w:val="00E3604D"/>
    <w:rPr>
      <w:sz w:val="2"/>
      <w:szCs w:val="2"/>
    </w:rPr>
  </w:style>
  <w:style w:type="character" w:customStyle="1" w:styleId="Small">
    <w:name w:val="Small"/>
    <w:basedOn w:val="DefaultParagraphFont"/>
    <w:rsid w:val="00E3604D"/>
    <w:rPr>
      <w:sz w:val="16"/>
    </w:rPr>
  </w:style>
  <w:style w:type="paragraph" w:customStyle="1" w:styleId="WideTable">
    <w:name w:val="Wide Table"/>
    <w:basedOn w:val="Normal"/>
    <w:rsid w:val="00E3604D"/>
    <w:pPr>
      <w:ind w:left="-1418"/>
    </w:pPr>
    <w:rPr>
      <w:sz w:val="2"/>
      <w:szCs w:val="2"/>
    </w:rPr>
  </w:style>
  <w:style w:type="character" w:styleId="PageNumber">
    <w:name w:val="page number"/>
    <w:basedOn w:val="DefaultParagraphFont"/>
    <w:rsid w:val="00E3604D"/>
  </w:style>
  <w:style w:type="paragraph" w:styleId="Quote">
    <w:name w:val="Quote"/>
    <w:basedOn w:val="Heading1"/>
    <w:link w:val="QuoteChar"/>
    <w:qFormat/>
    <w:rsid w:val="00E3604D"/>
    <w:rPr>
      <w:b w:val="0"/>
      <w:sz w:val="72"/>
      <w:szCs w:val="72"/>
      <w:lang w:val="en-NZ"/>
    </w:rPr>
  </w:style>
  <w:style w:type="character" w:customStyle="1" w:styleId="QuoteChar">
    <w:name w:val="Quote Char"/>
    <w:basedOn w:val="DefaultParagraphFont"/>
    <w:link w:val="Quote"/>
    <w:rsid w:val="00E36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04D"/>
    <w:pPr>
      <w:pageBreakBefore/>
    </w:pPr>
  </w:style>
  <w:style w:type="paragraph" w:customStyle="1" w:styleId="Border">
    <w:name w:val="Border"/>
    <w:basedOn w:val="Normal"/>
    <w:qFormat/>
    <w:rsid w:val="00E36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04D"/>
    <w:rPr>
      <w:b/>
      <w:bCs/>
      <w:i/>
      <w:iCs/>
      <w:color w:val="auto"/>
    </w:rPr>
  </w:style>
  <w:style w:type="paragraph" w:styleId="IntenseQuote">
    <w:name w:val="Intense Quote"/>
    <w:basedOn w:val="Normal"/>
    <w:next w:val="Normal"/>
    <w:link w:val="IntenseQuoteChar"/>
    <w:uiPriority w:val="30"/>
    <w:qFormat/>
    <w:rsid w:val="00E36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04D"/>
    <w:rPr>
      <w:smallCaps/>
      <w:color w:val="auto"/>
      <w:u w:val="single"/>
    </w:rPr>
  </w:style>
  <w:style w:type="character" w:styleId="IntenseReference">
    <w:name w:val="Intense Reference"/>
    <w:basedOn w:val="DefaultParagraphFont"/>
    <w:uiPriority w:val="32"/>
    <w:qFormat/>
    <w:rsid w:val="00E3604D"/>
    <w:rPr>
      <w:b/>
      <w:bCs/>
      <w:smallCaps/>
      <w:color w:val="auto"/>
      <w:spacing w:val="5"/>
      <w:u w:val="single"/>
    </w:rPr>
  </w:style>
  <w:style w:type="paragraph" w:customStyle="1" w:styleId="2ColumnHeading">
    <w:name w:val="2Column Heading"/>
    <w:basedOn w:val="BodyText"/>
    <w:qFormat/>
    <w:rsid w:val="00E3604D"/>
    <w:pPr>
      <w:spacing w:after="60"/>
      <w:ind w:left="-2268"/>
    </w:pPr>
    <w:rPr>
      <w:b/>
    </w:rPr>
  </w:style>
  <w:style w:type="paragraph" w:customStyle="1" w:styleId="Heading1TOC">
    <w:name w:val="Heading1 TOC"/>
    <w:basedOn w:val="Normal"/>
    <w:qFormat/>
    <w:rsid w:val="00E3604D"/>
    <w:pPr>
      <w:spacing w:before="240" w:after="120"/>
    </w:pPr>
    <w:rPr>
      <w:rFonts w:ascii="Times New Roman" w:hAnsi="Times New Roman"/>
      <w:b/>
      <w:sz w:val="32"/>
    </w:rPr>
  </w:style>
  <w:style w:type="paragraph" w:customStyle="1" w:styleId="Heading2TOC">
    <w:name w:val="Heading2 TOC"/>
    <w:basedOn w:val="Normal"/>
    <w:qFormat/>
    <w:rsid w:val="00E3604D"/>
    <w:pPr>
      <w:spacing w:before="240" w:after="60"/>
    </w:pPr>
    <w:rPr>
      <w:rFonts w:ascii="Times New Roman" w:hAnsi="Times New Roman"/>
      <w:b/>
      <w:sz w:val="28"/>
    </w:rPr>
  </w:style>
  <w:style w:type="character" w:customStyle="1" w:styleId="Underline">
    <w:name w:val="Underline"/>
    <w:basedOn w:val="DefaultParagraphFont"/>
    <w:qFormat/>
    <w:rsid w:val="00E3604D"/>
    <w:rPr>
      <w:u w:val="single"/>
    </w:rPr>
  </w:style>
  <w:style w:type="character" w:customStyle="1" w:styleId="BoldandItalics">
    <w:name w:val="Bold and Italics"/>
    <w:qFormat/>
    <w:rsid w:val="00E3604D"/>
    <w:rPr>
      <w:b/>
      <w:i/>
      <w:u w:val="none"/>
    </w:rPr>
  </w:style>
  <w:style w:type="paragraph" w:styleId="BalloonText">
    <w:name w:val="Balloon Text"/>
    <w:basedOn w:val="Normal"/>
    <w:link w:val="BalloonTextChar"/>
    <w:rsid w:val="00E3604D"/>
    <w:rPr>
      <w:rFonts w:ascii="Tahoma" w:hAnsi="Tahoma" w:cs="Tahoma"/>
      <w:sz w:val="16"/>
      <w:szCs w:val="16"/>
    </w:rPr>
  </w:style>
  <w:style w:type="character" w:customStyle="1" w:styleId="BalloonTextChar">
    <w:name w:val="Balloon Text Char"/>
    <w:basedOn w:val="DefaultParagraphFont"/>
    <w:link w:val="BalloonText"/>
    <w:rsid w:val="00E36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04D"/>
    <w:rPr>
      <w:b/>
      <w:color w:val="660033"/>
      <w:spacing w:val="0"/>
    </w:rPr>
  </w:style>
  <w:style w:type="paragraph" w:customStyle="1" w:styleId="Nameditemlist">
    <w:name w:val="Named item list"/>
    <w:basedOn w:val="BodyText"/>
    <w:qFormat/>
    <w:rsid w:val="00E3604D"/>
    <w:pPr>
      <w:tabs>
        <w:tab w:val="left" w:pos="2835"/>
      </w:tabs>
      <w:ind w:left="2835" w:hanging="2835"/>
    </w:pPr>
  </w:style>
  <w:style w:type="paragraph" w:customStyle="1" w:styleId="BodyTextnopadding">
    <w:name w:val="Body Text no padding"/>
    <w:basedOn w:val="BodyText"/>
    <w:qFormat/>
    <w:rsid w:val="00E3604D"/>
    <w:pPr>
      <w:spacing w:before="0" w:after="0"/>
    </w:pPr>
  </w:style>
  <w:style w:type="paragraph" w:customStyle="1" w:styleId="BodyTextBold">
    <w:name w:val="Body Text Bold"/>
    <w:basedOn w:val="BodyText"/>
    <w:qFormat/>
    <w:rsid w:val="00E3604D"/>
    <w:rPr>
      <w:b/>
    </w:rPr>
  </w:style>
  <w:style w:type="character" w:styleId="Hyperlink">
    <w:name w:val="Hyperlink"/>
    <w:basedOn w:val="DefaultParagraphFont"/>
    <w:uiPriority w:val="99"/>
    <w:unhideWhenUsed/>
    <w:rsid w:val="00E83F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939</Words>
  <Characters>5960</Characters>
  <Application>Microsoft Office Word</Application>
  <DocSecurity>0</DocSecurity>
  <Lines>248</Lines>
  <Paragraphs>125</Paragraphs>
  <ScaleCrop>false</ScaleCrop>
  <Company>Author-it Software Corporation Ltd.</Company>
  <LinksUpToDate>false</LinksUpToDate>
  <CharactersWithSpaces>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MSL952002 Handle and transport samples or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2025-02-21T07:20:00Z</dcterms:created>
  <dcterms:modified xsi:type="dcterms:W3CDTF">2025-02-21T07:20:00Z</dcterms:modified>
</cp:coreProperties>
</file>