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BAA" w:rsidP="00006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MSL944002 Maintain laboratory or field workplace safety</w:t>
      </w:r>
      <w:r>
        <w:fldChar w:fldCharType="end"/>
      </w:r>
    </w:p>
    <w:p w:rsidR="00006BAA" w:rsidP="00006BAA">
      <w:pPr>
        <w:pStyle w:val="Version"/>
        <w:sectPr w:rsidSect="00FC4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670" w:rsidP="00FC4670">
      <w:pPr>
        <w:pStyle w:val="SuperHeading"/>
      </w:pPr>
      <w:r w:rsidRPr="00FC4670">
        <w:t>Assessment Requirements for MSL944002 Maintain laboratory or field workplace safety</w:t>
      </w:r>
    </w:p>
    <w:p w:rsidR="00000000" w:rsidRPr="00FC4670" w:rsidP="00FC4670">
      <w:pPr>
        <w:pStyle w:val="Heading1"/>
      </w:pPr>
      <w:bookmarkStart w:id="1" w:name="O_986140"/>
      <w:bookmarkEnd w:id="1"/>
      <w:r w:rsidRPr="00FC46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C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670" w:rsidP="00FC4670">
            <w:pPr>
              <w:pStyle w:val="BodyText"/>
            </w:pPr>
            <w:r w:rsidRPr="00FC467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670">
            <w:pPr>
              <w:pStyle w:val="BodyText"/>
              <w:rPr>
                <w:lang w:val="en-NZ"/>
              </w:rPr>
            </w:pPr>
            <w:r w:rsidRPr="00FC4670">
              <w:rPr>
                <w:rStyle w:val="SpecialBold"/>
              </w:rPr>
              <w:t>Comments</w:t>
            </w:r>
          </w:p>
        </w:tc>
      </w:tr>
      <w:tr w:rsidTr="00FC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70">
            <w:pPr>
              <w:pStyle w:val="BodyText"/>
              <w:rPr>
                <w:lang w:val="en-NZ"/>
              </w:rPr>
            </w:pPr>
            <w:r w:rsidRPr="00FC467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70" w:rsidP="00FC4670">
            <w:pPr>
              <w:pStyle w:val="BodyText"/>
            </w:pPr>
            <w:r w:rsidRPr="00FC4670">
              <w:t xml:space="preserve">This version was released in </w:t>
            </w:r>
            <w:r w:rsidRPr="00FC4670">
              <w:rPr>
                <w:rStyle w:val="Emphasis"/>
              </w:rPr>
              <w:t>MSL Laboratory Operations Training Package Release 2.0.</w:t>
            </w:r>
          </w:p>
          <w:p w:rsidR="00000000" w:rsidRPr="00FC4670" w:rsidP="00FC4670">
            <w:pPr>
              <w:pStyle w:val="BodyText"/>
            </w:pPr>
            <w:r w:rsidRPr="00FC4670">
              <w:t>Supersedes and equivalent to MSL944001 Maintain laboratory or field workplace safety. Foundation skill information added. Range of conditions removed. Assessment requirements amended.</w:t>
            </w:r>
          </w:p>
        </w:tc>
      </w:tr>
    </w:tbl>
    <w:p w:rsidR="00000000" w:rsidRPr="00FC4670" w:rsidP="00FC4670">
      <w:pPr>
        <w:pStyle w:val="BodyText"/>
      </w:pPr>
    </w:p>
    <w:p w:rsidR="00000000" w:rsidRPr="00FC4670" w:rsidP="00FC4670">
      <w:pPr>
        <w:pStyle w:val="AllowPageBreak"/>
      </w:pPr>
    </w:p>
    <w:p w:rsidR="00000000" w:rsidRPr="00FC4670" w:rsidP="00FC4670">
      <w:pPr>
        <w:pStyle w:val="Heading1"/>
      </w:pPr>
      <w:bookmarkStart w:id="2" w:name="O_986143"/>
      <w:bookmarkEnd w:id="2"/>
      <w:r w:rsidRPr="00FC4670">
        <w:t>Performance Evidence</w:t>
      </w:r>
    </w:p>
    <w:p w:rsidR="00000000" w:rsidRPr="00FC4670" w:rsidP="00006BAA">
      <w:pPr>
        <w:pStyle w:val="BodyText"/>
      </w:pPr>
      <w:r w:rsidRPr="00FC4670">
        <w:t>There must be evidence the candi</w:t>
      </w:r>
      <w:r w:rsidRPr="00FC4670">
        <w:t>date has completed the tasks outlined in the elements and performance criteria of this unit, and:</w:t>
      </w:r>
    </w:p>
    <w:p w:rsidR="00000000" w:rsidRPr="00FC4670" w:rsidP="00FC4670">
      <w:pPr>
        <w:pStyle w:val="ListBullet"/>
      </w:pPr>
      <w:r w:rsidRPr="00FC4670">
        <w:t>effectively monitored and maintained work health and safety (WHS) within 1 work area, including:</w:t>
      </w:r>
    </w:p>
    <w:p w:rsidR="00000000" w:rsidRPr="00FC4670" w:rsidP="00FC4670">
      <w:pPr>
        <w:pStyle w:val="ListBullet2"/>
      </w:pPr>
      <w:r w:rsidRPr="00FC4670">
        <w:t>ensuring others in the workgroup work safely and follow procedures for hazard identification and risk control and implement safe work practices.</w:t>
      </w:r>
    </w:p>
    <w:p w:rsidR="00000000" w:rsidRPr="00FC4670" w:rsidP="00FC4670">
      <w:pPr>
        <w:pStyle w:val="AllowPageBreak"/>
      </w:pPr>
    </w:p>
    <w:p w:rsidR="00000000" w:rsidRPr="00FC4670" w:rsidP="00FC4670">
      <w:pPr>
        <w:pStyle w:val="Heading1"/>
      </w:pPr>
      <w:bookmarkStart w:id="3" w:name="O_986142"/>
      <w:bookmarkEnd w:id="3"/>
      <w:r w:rsidRPr="00FC4670">
        <w:t>Knowledge Evidence</w:t>
      </w:r>
    </w:p>
    <w:p w:rsidR="00000000" w:rsidRPr="00FC4670" w:rsidP="00006BAA">
      <w:pPr>
        <w:pStyle w:val="BodyText"/>
      </w:pPr>
      <w:r w:rsidRPr="00FC4670">
        <w:t>There must be evidence the candidate has knowledge of:</w:t>
      </w:r>
    </w:p>
    <w:p w:rsidR="00000000" w:rsidRPr="00FC4670" w:rsidP="00FC4670">
      <w:pPr>
        <w:pStyle w:val="ListBullet"/>
      </w:pPr>
      <w:r w:rsidRPr="00FC4670">
        <w:t xml:space="preserve">common work health </w:t>
      </w:r>
      <w:r w:rsidRPr="00FC4670">
        <w:t>and safety (WHS) terminology, such as hazard, physical hazard, risk and risk management</w:t>
      </w:r>
    </w:p>
    <w:p w:rsidR="00000000" w:rsidRPr="00FC4670" w:rsidP="00FC4670">
      <w:pPr>
        <w:pStyle w:val="ListBullet"/>
      </w:pPr>
      <w:r w:rsidRPr="00FC4670">
        <w:t>principles and procedures for WHS and environmental management, including hazard identification, risk assessment and hierarchy of risk control</w:t>
      </w:r>
    </w:p>
    <w:p w:rsidR="00000000" w:rsidRPr="00FC4670" w:rsidP="00FC4670">
      <w:pPr>
        <w:pStyle w:val="ListBullet"/>
      </w:pPr>
      <w:r w:rsidRPr="00FC4670">
        <w:t>how the characteristics a</w:t>
      </w:r>
      <w:r w:rsidRPr="00FC4670">
        <w:t>nd composition of the workforce impact on WHS management</w:t>
      </w:r>
    </w:p>
    <w:p w:rsidR="00000000" w:rsidRPr="00FC4670" w:rsidP="00FC4670">
      <w:pPr>
        <w:pStyle w:val="ListBullet"/>
      </w:pPr>
      <w:r w:rsidRPr="00FC4670">
        <w:t>roles and responsibilities under WHS legislation of employers and employees, including supervisors and contractors</w:t>
      </w:r>
    </w:p>
    <w:p w:rsidR="00000000" w:rsidRPr="00FC4670" w:rsidP="00FC4670">
      <w:pPr>
        <w:pStyle w:val="ListBullet"/>
      </w:pPr>
      <w:r w:rsidRPr="00FC4670">
        <w:t xml:space="preserve">sources of advice and information on WHS issues, including safety data sheets (SDS) </w:t>
      </w:r>
      <w:r w:rsidRPr="00FC4670">
        <w:t>and key personnel</w:t>
      </w:r>
    </w:p>
    <w:p w:rsidR="00000000" w:rsidRPr="00FC4670" w:rsidP="00FC4670">
      <w:pPr>
        <w:pStyle w:val="ListBullet"/>
      </w:pPr>
      <w:r w:rsidRPr="00FC4670">
        <w:t>site layout, including emergency exits, location and use of safety alarms, emergency response system and procedures, and designated WHS personnel</w:t>
      </w:r>
    </w:p>
    <w:p w:rsidR="00000000" w:rsidRPr="00FC4670" w:rsidP="00FC4670">
      <w:pPr>
        <w:pStyle w:val="ListBullet"/>
      </w:pPr>
      <w:r w:rsidRPr="00FC4670">
        <w:t>signage, symbols and signals relating to WHS</w:t>
      </w:r>
    </w:p>
    <w:p w:rsidR="00000000" w:rsidRPr="00FC4670" w:rsidP="00FC4670">
      <w:pPr>
        <w:pStyle w:val="ListBullet"/>
      </w:pPr>
      <w:r w:rsidRPr="00FC4670">
        <w:t>examples of hazards relevant to the work area a</w:t>
      </w:r>
      <w:r w:rsidRPr="00FC4670">
        <w:t>nd ways of addressing these using the hierarchy of control</w:t>
      </w:r>
    </w:p>
    <w:p w:rsidR="00000000" w:rsidRPr="00FC4670" w:rsidP="00FC4670">
      <w:pPr>
        <w:pStyle w:val="ListBullet"/>
      </w:pPr>
      <w:r w:rsidRPr="00FC4670">
        <w:t>location and purpose of personal protective equipment (PPE) and emergency/hazard control equipment in the work area, including first aid facilities</w:t>
      </w:r>
    </w:p>
    <w:p w:rsidR="00000000" w:rsidRPr="00FC4670" w:rsidP="00FC4670">
      <w:pPr>
        <w:pStyle w:val="ListBullet"/>
      </w:pPr>
      <w:r w:rsidRPr="00FC4670">
        <w:t>use, care and storage requirements for PPE used i</w:t>
      </w:r>
      <w:r w:rsidRPr="00FC4670">
        <w:t>n work areas</w:t>
      </w:r>
    </w:p>
    <w:p w:rsidR="00000000" w:rsidRPr="00FC4670" w:rsidP="00FC4670">
      <w:pPr>
        <w:pStyle w:val="ListBullet"/>
      </w:pPr>
      <w:r w:rsidRPr="00FC4670">
        <w:t>requirements and procedures for reporting (potential) WHS hazards and incidents, injuries, illness and near misses, and safety and environmental issues or concerns</w:t>
      </w:r>
    </w:p>
    <w:p w:rsidR="00000000" w:rsidRPr="00FC4670" w:rsidP="00FC4670">
      <w:pPr>
        <w:pStyle w:val="ListBullet"/>
      </w:pPr>
      <w:r w:rsidRPr="00FC4670">
        <w:t>possible workplace incidents/emergencies and response procedures</w:t>
      </w:r>
    </w:p>
    <w:p w:rsidR="00000000" w:rsidRPr="00FC4670" w:rsidP="00FC4670">
      <w:pPr>
        <w:pStyle w:val="ListBullet"/>
      </w:pPr>
      <w:r w:rsidRPr="00FC4670">
        <w:t>requirements for record keeping that address WHS, privacy and other relevant legislation</w:t>
      </w:r>
    </w:p>
    <w:p w:rsidR="00000000" w:rsidRPr="00FC4670" w:rsidP="00FC4670">
      <w:pPr>
        <w:pStyle w:val="ListBullet"/>
      </w:pPr>
      <w:r w:rsidRPr="00FC4670">
        <w:t>standard operating procedures (SOPs), work instructions, laboratory manuals, operator</w:t>
      </w:r>
      <w:r>
        <w:t>’</w:t>
      </w:r>
      <w:r w:rsidRPr="00FC4670">
        <w:t>s manuals and manufacturers</w:t>
      </w:r>
      <w:r>
        <w:t>’</w:t>
      </w:r>
      <w:r w:rsidRPr="00FC4670">
        <w:t xml:space="preserve"> operating manuals relating to WHS</w:t>
      </w:r>
    </w:p>
    <w:p w:rsidR="00000000" w:rsidRPr="00FC4670" w:rsidP="00FC4670">
      <w:pPr>
        <w:pStyle w:val="ListBullet"/>
      </w:pPr>
      <w:r w:rsidRPr="00FC4670">
        <w:t>consultation and i</w:t>
      </w:r>
      <w:r w:rsidRPr="00FC4670">
        <w:t>ssue resolution requirements</w:t>
      </w:r>
    </w:p>
    <w:p w:rsidR="00000000" w:rsidRPr="00FC4670" w:rsidP="00FC4670">
      <w:pPr>
        <w:pStyle w:val="ListBullet"/>
      </w:pPr>
      <w:r w:rsidRPr="00FC4670">
        <w:t>Australian, national and international standards, guidelines and codes covering WHS; laboratory design and construction; occupational protective equipment; labelling of workplace substances; storage, handling and transport of d</w:t>
      </w:r>
      <w:r w:rsidRPr="00FC4670">
        <w:t>angerous goods; physical containment levels and facility types</w:t>
      </w:r>
    </w:p>
    <w:p w:rsidR="00000000" w:rsidRPr="00FC4670" w:rsidP="00FC4670">
      <w:pPr>
        <w:pStyle w:val="ListBullet"/>
      </w:pPr>
      <w:r w:rsidRPr="00FC4670">
        <w:t>industry specific codes, regulations and guidelines.</w:t>
      </w:r>
    </w:p>
    <w:p w:rsidR="00000000" w:rsidRPr="00FC4670" w:rsidP="00FC4670">
      <w:pPr>
        <w:pStyle w:val="AllowPageBreak"/>
      </w:pPr>
    </w:p>
    <w:p w:rsidR="00000000" w:rsidRPr="00FC4670" w:rsidP="00FC4670">
      <w:pPr>
        <w:pStyle w:val="Heading1"/>
      </w:pPr>
      <w:bookmarkStart w:id="4" w:name="O_986141"/>
      <w:bookmarkEnd w:id="4"/>
      <w:r w:rsidRPr="00FC4670">
        <w:t>Assessment Conditions</w:t>
      </w:r>
    </w:p>
    <w:p w:rsidR="00000000" w:rsidRPr="00FC4670" w:rsidP="00006BAA">
      <w:pPr>
        <w:pStyle w:val="BodyText"/>
      </w:pPr>
      <w:r w:rsidRPr="00FC4670">
        <w:t>Skills must have been demonstrated in the workplace or in a simulated environment that reflects workp</w:t>
      </w:r>
      <w:r w:rsidRPr="00FC4670">
        <w:t xml:space="preserve">lace conditions and contingencies. The following conditions must be met for this unit: </w:t>
      </w:r>
    </w:p>
    <w:p w:rsidR="00000000" w:rsidRPr="00FC4670" w:rsidP="00FC4670">
      <w:pPr>
        <w:pStyle w:val="ListBullet"/>
      </w:pPr>
      <w:r w:rsidRPr="00FC4670">
        <w:t xml:space="preserve">use of suitable facilities, equipment and resources, including: </w:t>
      </w:r>
    </w:p>
    <w:p w:rsidR="00000000" w:rsidRPr="00FC4670" w:rsidP="00FC4670">
      <w:pPr>
        <w:pStyle w:val="ListBullet2"/>
      </w:pPr>
      <w:r w:rsidRPr="00FC4670">
        <w:t>typical laboratory/field work equipment and materials</w:t>
      </w:r>
    </w:p>
    <w:p w:rsidR="00000000" w:rsidRPr="00FC4670" w:rsidP="00FC4670">
      <w:pPr>
        <w:pStyle w:val="ListBullet2"/>
      </w:pPr>
      <w:r w:rsidRPr="00FC4670">
        <w:t>PPE and other safety equipment</w:t>
      </w:r>
    </w:p>
    <w:p w:rsidR="00000000" w:rsidRPr="00FC4670" w:rsidP="00FC4670">
      <w:pPr>
        <w:pStyle w:val="ListBullet2"/>
      </w:pPr>
      <w:r w:rsidRPr="00FC4670">
        <w:t>workplace WHS do</w:t>
      </w:r>
      <w:r w:rsidRPr="00FC4670">
        <w:t>cumentation, management system, policies and procedures.</w:t>
      </w:r>
    </w:p>
    <w:p w:rsidR="00000000" w:rsidRPr="00FC4670" w:rsidP="00006BAA">
      <w:pPr>
        <w:pStyle w:val="BodyText"/>
      </w:pPr>
      <w:r w:rsidRPr="00FC4670">
        <w:br/>
        <w:t>Assessors must satisfy the NVR/AQTF mandatory competency requirements for assessors.</w:t>
      </w:r>
    </w:p>
    <w:p w:rsidR="00000000" w:rsidRPr="00FC4670" w:rsidP="00FC4670">
      <w:pPr>
        <w:pStyle w:val="AllowPageBreak"/>
      </w:pPr>
    </w:p>
    <w:p w:rsidR="00000000" w:rsidRPr="00FC4670" w:rsidP="00FC4670">
      <w:pPr>
        <w:pStyle w:val="Heading1"/>
      </w:pPr>
      <w:bookmarkStart w:id="5" w:name="O_986139"/>
      <w:bookmarkEnd w:id="5"/>
      <w:r w:rsidRPr="00FC4670">
        <w:t>Links</w:t>
      </w:r>
    </w:p>
    <w:p w:rsidR="00000000" w:rsidRPr="00FC4670" w:rsidP="00006BAA">
      <w:pPr>
        <w:pStyle w:val="BodyText"/>
      </w:pPr>
      <w:r w:rsidRPr="00FC467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712C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C4670" w:rsidP="00FC4670"/>
    <w:sectPr w:rsidSect="00FC46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0" w:rsidRPr="00006BAA" w:rsidP="00006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BAA" w:rsidP="00FC4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6BAA" w:rsidP="00FC4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6BAA" w:rsidP="00FC4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670" w:rsidRPr="00006BAA" w:rsidP="00006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BAA" w:rsidRPr="002D2AF8" w:rsidP="00FC4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MSL944002 Maintain laboratory or field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06BAA" w:rsidP="00FC4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523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48E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C1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670"/>
  </w:style>
  <w:style w:type="character" w:customStyle="1" w:styleId="Heading1Char">
    <w:name w:val="Heading 1 Char"/>
    <w:basedOn w:val="DefaultParagraphFont"/>
    <w:link w:val="Heading1"/>
    <w:rsid w:val="00FC4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6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670"/>
    <w:rPr>
      <w:b/>
      <w:spacing w:val="0"/>
    </w:rPr>
  </w:style>
  <w:style w:type="paragraph" w:styleId="ListBullet2">
    <w:name w:val="List Bullet 2"/>
    <w:basedOn w:val="List2"/>
    <w:rsid w:val="00FC46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4670"/>
    <w:rPr>
      <w:i/>
    </w:rPr>
  </w:style>
  <w:style w:type="paragraph" w:customStyle="1" w:styleId="SuperHeading">
    <w:name w:val="SuperHeading"/>
    <w:basedOn w:val="Normal"/>
    <w:rsid w:val="00FC4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670"/>
  </w:style>
  <w:style w:type="paragraph" w:styleId="TableofFigures">
    <w:name w:val="table of figures"/>
    <w:basedOn w:val="Normal"/>
    <w:next w:val="Normal"/>
    <w:semiHidden/>
    <w:rsid w:val="00FC4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6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4670"/>
    <w:rPr>
      <w:rFonts w:ascii="Wingdings" w:hAnsi="Wingdings"/>
    </w:rPr>
  </w:style>
  <w:style w:type="paragraph" w:customStyle="1" w:styleId="TableHeading">
    <w:name w:val="Table Heading"/>
    <w:basedOn w:val="HeadingBase"/>
    <w:rsid w:val="00FC4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670"/>
    <w:rPr>
      <w:color w:val="0033CC"/>
      <w:u w:val="none"/>
    </w:rPr>
  </w:style>
  <w:style w:type="paragraph" w:customStyle="1" w:styleId="BodyTextRight">
    <w:name w:val="Body Text Right"/>
    <w:basedOn w:val="BodyText"/>
    <w:rsid w:val="00FC4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6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670"/>
    <w:rPr>
      <w:sz w:val="32"/>
    </w:rPr>
  </w:style>
  <w:style w:type="paragraph" w:customStyle="1" w:styleId="HeadingProcedure">
    <w:name w:val="Heading Procedure"/>
    <w:basedOn w:val="HeadingBase"/>
    <w:next w:val="Normal"/>
    <w:rsid w:val="00FC4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670"/>
    <w:pPr>
      <w:spacing w:before="60" w:after="60"/>
    </w:pPr>
  </w:style>
  <w:style w:type="paragraph" w:styleId="ListContinue">
    <w:name w:val="List Continue"/>
    <w:basedOn w:val="List"/>
    <w:rsid w:val="00FC4670"/>
    <w:pPr>
      <w:ind w:firstLine="0"/>
    </w:pPr>
  </w:style>
  <w:style w:type="paragraph" w:customStyle="1" w:styleId="ListNote">
    <w:name w:val="List Note"/>
    <w:basedOn w:val="List"/>
    <w:rsid w:val="00FC4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670"/>
    <w:rPr>
      <w:rFonts w:ascii="Courier New" w:hAnsi="Courier New"/>
    </w:rPr>
  </w:style>
  <w:style w:type="paragraph" w:customStyle="1" w:styleId="NoteBullet">
    <w:name w:val="Note Bullet"/>
    <w:basedOn w:val="Note"/>
    <w:rsid w:val="00FC4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6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670"/>
    <w:rPr>
      <w:b/>
      <w:smallCaps/>
    </w:rPr>
  </w:style>
  <w:style w:type="paragraph" w:customStyle="1" w:styleId="TableListNumber">
    <w:name w:val="Table List Number"/>
    <w:basedOn w:val="ListNumber"/>
    <w:rsid w:val="00FC4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670"/>
    <w:pPr>
      <w:numPr>
        <w:numId w:val="9"/>
      </w:numPr>
    </w:pPr>
  </w:style>
  <w:style w:type="paragraph" w:customStyle="1" w:styleId="ListAlpha2">
    <w:name w:val="List Alpha 2"/>
    <w:basedOn w:val="List2"/>
    <w:rsid w:val="00FC4670"/>
    <w:pPr>
      <w:numPr>
        <w:numId w:val="8"/>
      </w:numPr>
    </w:pPr>
  </w:style>
  <w:style w:type="paragraph" w:styleId="List2">
    <w:name w:val="List 2"/>
    <w:basedOn w:val="BodyText"/>
    <w:rsid w:val="00FC4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6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6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670"/>
    <w:pPr>
      <w:numPr>
        <w:numId w:val="4"/>
      </w:numPr>
    </w:pPr>
  </w:style>
  <w:style w:type="paragraph" w:styleId="ListContinue2">
    <w:name w:val="List Continue 2"/>
    <w:basedOn w:val="List2"/>
    <w:rsid w:val="00FC4670"/>
    <w:pPr>
      <w:ind w:firstLine="0"/>
    </w:pPr>
  </w:style>
  <w:style w:type="paragraph" w:styleId="ListContinue3">
    <w:name w:val="List Continue 3"/>
    <w:basedOn w:val="List3"/>
    <w:rsid w:val="00FC4670"/>
    <w:pPr>
      <w:ind w:left="1021" w:firstLine="0"/>
    </w:pPr>
  </w:style>
  <w:style w:type="paragraph" w:styleId="ListContinue4">
    <w:name w:val="List Continue 4"/>
    <w:basedOn w:val="List4"/>
    <w:rsid w:val="00FC4670"/>
    <w:pPr>
      <w:ind w:firstLine="0"/>
    </w:pPr>
  </w:style>
  <w:style w:type="paragraph" w:styleId="ListContinue5">
    <w:name w:val="List Continue 5"/>
    <w:basedOn w:val="List5"/>
    <w:rsid w:val="00FC4670"/>
    <w:pPr>
      <w:ind w:firstLine="0"/>
    </w:pPr>
  </w:style>
  <w:style w:type="paragraph" w:styleId="ListNumber3">
    <w:name w:val="List Number 3"/>
    <w:basedOn w:val="List3"/>
    <w:rsid w:val="00FC4670"/>
    <w:pPr>
      <w:numPr>
        <w:numId w:val="5"/>
      </w:numPr>
    </w:pPr>
  </w:style>
  <w:style w:type="paragraph" w:styleId="ListNumber4">
    <w:name w:val="List Number 4"/>
    <w:basedOn w:val="List4"/>
    <w:rsid w:val="00FC4670"/>
    <w:pPr>
      <w:numPr>
        <w:numId w:val="6"/>
      </w:numPr>
    </w:pPr>
  </w:style>
  <w:style w:type="paragraph" w:styleId="ListNumber5">
    <w:name w:val="List Number 5"/>
    <w:basedOn w:val="List5"/>
    <w:rsid w:val="00FC4670"/>
    <w:pPr>
      <w:numPr>
        <w:numId w:val="7"/>
      </w:numPr>
    </w:pPr>
  </w:style>
  <w:style w:type="paragraph" w:styleId="BlockText">
    <w:name w:val="Block Text"/>
    <w:basedOn w:val="Normal"/>
    <w:rsid w:val="00FC4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670"/>
    <w:rPr>
      <w:sz w:val="16"/>
      <w:vertAlign w:val="superscript"/>
    </w:rPr>
  </w:style>
  <w:style w:type="character" w:customStyle="1" w:styleId="Symbols">
    <w:name w:val="Symbols"/>
    <w:basedOn w:val="DefaultParagraphFont"/>
    <w:rsid w:val="00FC4670"/>
    <w:rPr>
      <w:rFonts w:ascii="Symbol" w:hAnsi="Symbol"/>
    </w:rPr>
  </w:style>
  <w:style w:type="character" w:customStyle="1" w:styleId="MenuOptions">
    <w:name w:val="Menu Options"/>
    <w:basedOn w:val="DefaultParagraphFont"/>
    <w:rsid w:val="00FC4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670"/>
    <w:rPr>
      <w:b/>
    </w:rPr>
  </w:style>
  <w:style w:type="character" w:customStyle="1" w:styleId="Underlined">
    <w:name w:val="Underlined"/>
    <w:basedOn w:val="DefaultParagraphFont"/>
    <w:rsid w:val="00FC4670"/>
    <w:rPr>
      <w:u w:val="single"/>
    </w:rPr>
  </w:style>
  <w:style w:type="paragraph" w:customStyle="1" w:styleId="TableBodyTextRight">
    <w:name w:val="Table Body Text Right"/>
    <w:basedOn w:val="TableBodyText"/>
    <w:rsid w:val="00FC4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670"/>
    <w:rPr>
      <w:sz w:val="18"/>
    </w:rPr>
  </w:style>
  <w:style w:type="paragraph" w:customStyle="1" w:styleId="BodySmallRight">
    <w:name w:val="Body Small Right"/>
    <w:basedOn w:val="BodyTextRight"/>
    <w:rsid w:val="00FC4670"/>
    <w:rPr>
      <w:sz w:val="18"/>
      <w:szCs w:val="18"/>
    </w:rPr>
  </w:style>
  <w:style w:type="paragraph" w:customStyle="1" w:styleId="MarginEdition">
    <w:name w:val="Margin Edition"/>
    <w:basedOn w:val="MarginNote"/>
    <w:rsid w:val="00FC4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670"/>
    <w:rPr>
      <w:sz w:val="2"/>
      <w:szCs w:val="2"/>
    </w:rPr>
  </w:style>
  <w:style w:type="character" w:customStyle="1" w:styleId="Small">
    <w:name w:val="Small"/>
    <w:basedOn w:val="DefaultParagraphFont"/>
    <w:rsid w:val="00FC4670"/>
    <w:rPr>
      <w:sz w:val="16"/>
    </w:rPr>
  </w:style>
  <w:style w:type="paragraph" w:customStyle="1" w:styleId="WideTable">
    <w:name w:val="Wide Table"/>
    <w:basedOn w:val="Normal"/>
    <w:rsid w:val="00FC4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670"/>
  </w:style>
  <w:style w:type="paragraph" w:styleId="Quote">
    <w:name w:val="Quote"/>
    <w:basedOn w:val="Heading1"/>
    <w:link w:val="QuoteChar"/>
    <w:qFormat/>
    <w:rsid w:val="00FC4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670"/>
    <w:pPr>
      <w:pageBreakBefore/>
    </w:pPr>
  </w:style>
  <w:style w:type="paragraph" w:customStyle="1" w:styleId="Border">
    <w:name w:val="Border"/>
    <w:basedOn w:val="Normal"/>
    <w:qFormat/>
    <w:rsid w:val="00FC4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670"/>
    <w:rPr>
      <w:u w:val="single"/>
    </w:rPr>
  </w:style>
  <w:style w:type="character" w:customStyle="1" w:styleId="BoldandItalics">
    <w:name w:val="Bold and Italics"/>
    <w:qFormat/>
    <w:rsid w:val="00FC4670"/>
    <w:rPr>
      <w:b/>
      <w:i/>
      <w:u w:val="none"/>
    </w:rPr>
  </w:style>
  <w:style w:type="paragraph" w:styleId="BalloonText">
    <w:name w:val="Balloon Text"/>
    <w:basedOn w:val="Normal"/>
    <w:link w:val="BalloonTextChar"/>
    <w:rsid w:val="00FC4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670"/>
    <w:pPr>
      <w:spacing w:before="0" w:after="0"/>
    </w:pPr>
  </w:style>
  <w:style w:type="paragraph" w:customStyle="1" w:styleId="BodyTextBold">
    <w:name w:val="Body Text Bold"/>
    <w:basedOn w:val="BodyText"/>
    <w:qFormat/>
    <w:rsid w:val="00FC4670"/>
    <w:rPr>
      <w:b/>
    </w:rPr>
  </w:style>
  <w:style w:type="character" w:styleId="Hyperlink">
    <w:name w:val="Hyperlink"/>
    <w:basedOn w:val="DefaultParagraphFont"/>
    <w:uiPriority w:val="99"/>
    <w:unhideWhenUsed/>
    <w:rsid w:val="00006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3270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MSL944002 Maintain laboratory or field workplace safety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