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CD5" w:rsidP="00EE4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MSL943001 Work safely with instruments that emit ionising radiation</w:t>
      </w:r>
      <w:r>
        <w:fldChar w:fldCharType="end"/>
      </w:r>
    </w:p>
    <w:p w:rsidR="00EE4CD5" w:rsidP="00EE4CD5">
      <w:pPr>
        <w:pStyle w:val="Version"/>
        <w:sectPr w:rsidSect="00874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FED" w:rsidP="00874FED">
      <w:pPr>
        <w:pStyle w:val="SuperHeading"/>
      </w:pPr>
      <w:r w:rsidRPr="00874FED">
        <w:t>Assessment Requirements for MSL943001 Work safely with instruments that emit ionising radiation</w:t>
      </w:r>
    </w:p>
    <w:p w:rsidR="00000000" w:rsidRPr="00874FED" w:rsidP="00874FED">
      <w:pPr>
        <w:pStyle w:val="Heading1"/>
      </w:pPr>
      <w:bookmarkStart w:id="1" w:name="O_902784"/>
      <w:bookmarkEnd w:id="1"/>
      <w:r w:rsidRPr="00874FED">
        <w:t>Modification History</w:t>
      </w:r>
    </w:p>
    <w:p w:rsidR="00000000" w:rsidRPr="00874FED" w:rsidP="00874FED">
      <w:pPr>
        <w:pStyle w:val="BodyText"/>
      </w:pPr>
      <w:r w:rsidRPr="00874FED">
        <w:t>Release 1. Supersedes and is equivalent to MSL943001A Work safely with instruments that emit ionising radiation</w:t>
      </w:r>
    </w:p>
    <w:p w:rsidR="00000000" w:rsidRPr="00874FED" w:rsidP="00874FED">
      <w:pPr>
        <w:pStyle w:val="AllowPageBreak"/>
      </w:pPr>
    </w:p>
    <w:p w:rsidR="00000000" w:rsidRPr="00874FED" w:rsidP="00874FED">
      <w:pPr>
        <w:pStyle w:val="Heading1"/>
      </w:pPr>
      <w:bookmarkStart w:id="2" w:name="O_902787"/>
      <w:bookmarkEnd w:id="2"/>
      <w:r w:rsidRPr="00874FED">
        <w:t>Performance Evidence</w:t>
      </w:r>
    </w:p>
    <w:p w:rsidR="00000000" w:rsidRPr="00874FED" w:rsidP="00874FED">
      <w:pPr>
        <w:pStyle w:val="ListBullet"/>
      </w:pPr>
      <w:r w:rsidRPr="00874FED">
        <w:t>Evidence of competence in this unit must satisfy all of the requirements of the elements and performance criteria, and include demonstration of:</w:t>
      </w:r>
    </w:p>
    <w:p w:rsidR="00000000" w:rsidRPr="00874FED" w:rsidP="00874FED">
      <w:pPr>
        <w:pStyle w:val="ListBullet"/>
      </w:pPr>
      <w:r w:rsidRPr="00874FED">
        <w:t xml:space="preserve">safely handling, storing and transporting at least one (1) instrument that emits </w:t>
      </w:r>
      <w:r w:rsidRPr="00874FED">
        <w:t>ionising radiation in accordance with established safe work practices, laboratory procedures and licensing requirements</w:t>
      </w:r>
    </w:p>
    <w:p w:rsidR="00000000" w:rsidRPr="00874FED" w:rsidP="00874FED">
      <w:pPr>
        <w:pStyle w:val="ListBullet"/>
      </w:pPr>
      <w:r w:rsidRPr="00874FED">
        <w:t xml:space="preserve">safely checking the operation and calibration status of at least one (1) instrument that emits ionising radiation and then operating it </w:t>
      </w:r>
      <w:r w:rsidRPr="00874FED">
        <w:t>to conduct a radiation survey</w:t>
      </w:r>
    </w:p>
    <w:p w:rsidR="00000000" w:rsidRPr="00874FED" w:rsidP="00874FED">
      <w:pPr>
        <w:pStyle w:val="ListBullet"/>
      </w:pPr>
      <w:r w:rsidRPr="00874FED">
        <w:t>maintaining instrument security and keeping other personnel clear of radiation sources</w:t>
      </w:r>
    </w:p>
    <w:p w:rsidR="00000000" w:rsidRPr="00874FED" w:rsidP="00874FED">
      <w:pPr>
        <w:pStyle w:val="ListBullet"/>
      </w:pPr>
      <w:r w:rsidRPr="00874FED">
        <w:t>using a radiation dosimeter to accurately monitor personal exposure to radiation</w:t>
      </w:r>
    </w:p>
    <w:p w:rsidR="00000000" w:rsidRPr="00874FED" w:rsidP="00874FED">
      <w:pPr>
        <w:pStyle w:val="ListBullet"/>
      </w:pPr>
      <w:r w:rsidRPr="00874FED">
        <w:t>recording and reporting instrument condition and use, obse</w:t>
      </w:r>
      <w:r w:rsidRPr="00874FED">
        <w:t>rvations, data and survey results in accordance with workplace procedures</w:t>
      </w:r>
    </w:p>
    <w:p w:rsidR="00000000" w:rsidRPr="00874FED" w:rsidP="00874FED">
      <w:pPr>
        <w:pStyle w:val="ListBullet"/>
      </w:pPr>
      <w:r w:rsidRPr="00874FED">
        <w:t>recognising and reporting atypical conditions and problems to appropriate personnel promptly</w:t>
      </w:r>
    </w:p>
    <w:p w:rsidR="00000000" w:rsidRPr="00874FED" w:rsidP="00874FED">
      <w:pPr>
        <w:pStyle w:val="BodyText"/>
      </w:pPr>
      <w:r w:rsidRPr="00874FED">
        <w:t xml:space="preserve">following procedures for working safely, minimising environmental impacts and responding </w:t>
      </w:r>
      <w:r w:rsidRPr="00874FED">
        <w:t>to emergency incidents and accidents.</w:t>
      </w:r>
    </w:p>
    <w:p w:rsidR="00000000" w:rsidRPr="00874FED" w:rsidP="00874FED">
      <w:pPr>
        <w:pStyle w:val="AllowPageBreak"/>
      </w:pPr>
    </w:p>
    <w:p w:rsidR="00000000" w:rsidRPr="00874FED" w:rsidP="00874FED">
      <w:pPr>
        <w:pStyle w:val="Heading1"/>
      </w:pPr>
      <w:bookmarkStart w:id="3" w:name="O_902786"/>
      <w:bookmarkEnd w:id="3"/>
      <w:r w:rsidRPr="00874FED">
        <w:t>Knowledge Evidence</w:t>
      </w:r>
    </w:p>
    <w:p w:rsidR="00000000" w:rsidRPr="00874FED" w:rsidP="00874FED">
      <w:pPr>
        <w:pStyle w:val="BodyText"/>
      </w:pPr>
      <w:r w:rsidRPr="00874FED">
        <w:t>Must provide evidence that demonstrates knowledge of:</w:t>
      </w:r>
    </w:p>
    <w:p w:rsidR="00000000" w:rsidRPr="00874FED" w:rsidP="00874FED">
      <w:pPr>
        <w:pStyle w:val="ListBullet"/>
      </w:pPr>
      <w:r w:rsidRPr="00874FED">
        <w:t xml:space="preserve">radiation concepts and principles, including nature of radiation; different types of radiation, their characteristics, sources </w:t>
      </w:r>
      <w:r w:rsidRPr="00874FED">
        <w:t>and shielding methods; radiation intensity; physiological effects of ionising radiation; external radiation protection and practical methods of minimising radiation exposure</w:t>
      </w:r>
    </w:p>
    <w:p w:rsidR="00000000" w:rsidRPr="00874FED" w:rsidP="00874FED">
      <w:pPr>
        <w:pStyle w:val="ListBullet"/>
      </w:pPr>
      <w:r w:rsidRPr="00874FED">
        <w:t>methods of measuring and detecting ionising radiation</w:t>
      </w:r>
    </w:p>
    <w:p w:rsidR="00000000" w:rsidRPr="00874FED" w:rsidP="00874FED">
      <w:pPr>
        <w:pStyle w:val="ListBullet"/>
      </w:pPr>
      <w:r w:rsidRPr="00874FED">
        <w:t>national codes of practice a</w:t>
      </w:r>
      <w:r w:rsidRPr="00874FED">
        <w:t>nd state or territory licensing requirements for use of instruments that emit ionising radiation</w:t>
      </w:r>
    </w:p>
    <w:p w:rsidR="00000000" w:rsidRPr="00874FED" w:rsidP="00874FED">
      <w:pPr>
        <w:pStyle w:val="ListBullet"/>
      </w:pPr>
      <w:r w:rsidRPr="00874FED">
        <w:t>function of key components, pre-use and calibration status checks and safe operating procedures for the instrument used</w:t>
      </w:r>
    </w:p>
    <w:p w:rsidR="00000000" w:rsidRPr="00874FED" w:rsidP="00874FED">
      <w:pPr>
        <w:pStyle w:val="ListBullet"/>
      </w:pPr>
      <w:r w:rsidRPr="00874FED">
        <w:t>work health and safety (WHS) and emerge</w:t>
      </w:r>
      <w:r w:rsidRPr="00874FED">
        <w:t>ncy procedures for safe handling of radiation sources and working with the instrument used</w:t>
      </w:r>
    </w:p>
    <w:p w:rsidR="00000000" w:rsidRPr="00874FED" w:rsidP="00874FED">
      <w:pPr>
        <w:pStyle w:val="ListBullet"/>
      </w:pPr>
      <w:r w:rsidRPr="00874FED">
        <w:t>critical elements of radiation safety, including:</w:t>
      </w:r>
    </w:p>
    <w:p w:rsidR="00000000" w:rsidRPr="00874FED" w:rsidP="00874FED">
      <w:pPr>
        <w:pStyle w:val="ListBullet2"/>
      </w:pPr>
      <w:r w:rsidRPr="00874FED">
        <w:t>time (reduce the exposure time)</w:t>
      </w:r>
    </w:p>
    <w:p w:rsidR="00000000" w:rsidRPr="00874FED" w:rsidP="00874FED">
      <w:pPr>
        <w:pStyle w:val="ListBullet2"/>
      </w:pPr>
      <w:r w:rsidRPr="00874FED">
        <w:t>distance (maintain greatest distance possible at all times)</w:t>
      </w:r>
    </w:p>
    <w:p w:rsidR="00000000" w:rsidRPr="00874FED" w:rsidP="00874FED">
      <w:pPr>
        <w:pStyle w:val="ListBullet2"/>
      </w:pPr>
      <w:r w:rsidRPr="00874FED">
        <w:t>shielding (interpose as much radiation shielding as possible between yourself and the radiation source).</w:t>
      </w:r>
    </w:p>
    <w:p w:rsidR="00000000" w:rsidRPr="00874FED" w:rsidP="00874FED">
      <w:pPr>
        <w:pStyle w:val="AllowPageBreak"/>
      </w:pPr>
    </w:p>
    <w:p w:rsidR="00000000" w:rsidRPr="00874FED" w:rsidP="00874FED">
      <w:pPr>
        <w:pStyle w:val="Heading1"/>
      </w:pPr>
      <w:bookmarkStart w:id="4" w:name="O_902785"/>
      <w:bookmarkEnd w:id="4"/>
      <w:r w:rsidRPr="00874FED">
        <w:t>Assessment Conditions</w:t>
      </w:r>
    </w:p>
    <w:p w:rsidR="00000000" w:rsidRPr="00874FED" w:rsidP="00874FED">
      <w:pPr>
        <w:pStyle w:val="ListBullet"/>
      </w:pPr>
      <w:r w:rsidRPr="00874FED">
        <w:t>Judgement of competence must be based on holistic assessment of the evidence. Assessment methods must confirm c</w:t>
      </w:r>
      <w:r w:rsidRPr="00874FED">
        <w:t xml:space="preserve">onsistency of performance over time, rather than a single assessment event. </w:t>
      </w:r>
    </w:p>
    <w:p w:rsidR="00000000" w:rsidRPr="00874FED" w:rsidP="00874FED">
      <w:pPr>
        <w:pStyle w:val="ListBullet"/>
      </w:pPr>
      <w:r w:rsidRPr="00874FED">
        <w:t>This unit of competency is to be assessed in the workplace or a simulated workplace environment. A simulated workplace environment must reflect realistic operational workplace con</w:t>
      </w:r>
      <w:r w:rsidRPr="00874FED">
        <w:t xml:space="preserve">ditions that cover all aspects of workplace performance, including the environment, task skills, task management skills, contingency management skills and job role environment skills.  </w:t>
      </w:r>
    </w:p>
    <w:p w:rsidR="00000000" w:rsidRPr="00874FED" w:rsidP="00874FED">
      <w:pPr>
        <w:pStyle w:val="ListBullet"/>
      </w:pPr>
      <w:r w:rsidRPr="00874FED">
        <w:t>Foundation skills are integral to competent performance of the unit an</w:t>
      </w:r>
      <w:r w:rsidRPr="00874FED">
        <w:t xml:space="preserve">d should not be assessed separately. </w:t>
      </w:r>
    </w:p>
    <w:p w:rsidR="00000000" w:rsidRPr="00874FED" w:rsidP="00874FED">
      <w:pPr>
        <w:pStyle w:val="ListBullet"/>
      </w:pPr>
      <w:r w:rsidRPr="00874FED">
        <w:t>Assessment processes and techniques must be appropriate to the language, literacy and numeracy requirements of the work being performed and the needs of the candidate.</w:t>
      </w:r>
    </w:p>
    <w:p w:rsidR="00000000" w:rsidRPr="00874FED" w:rsidP="00874FED">
      <w:pPr>
        <w:pStyle w:val="ListBullet"/>
      </w:pPr>
      <w:r w:rsidRPr="00874FED">
        <w:t>Knowledge evidence may be collected concurrently w</w:t>
      </w:r>
      <w:r w:rsidRPr="00874FED">
        <w:t>ith performance evidence or through an independent process, such as workbooks, written assessments or interviews (provided a record is kept in each case).</w:t>
      </w:r>
    </w:p>
    <w:p w:rsidR="00000000" w:rsidRPr="00874FED" w:rsidP="00874FED">
      <w:pPr>
        <w:pStyle w:val="ListBullet"/>
      </w:pPr>
      <w:r w:rsidRPr="00874FED">
        <w:t xml:space="preserve">This unit of competency may be assessed with: </w:t>
      </w:r>
    </w:p>
    <w:p w:rsidR="00000000" w:rsidRPr="00874FED" w:rsidP="00874FED">
      <w:pPr>
        <w:pStyle w:val="ListBullet2"/>
      </w:pPr>
      <w:r w:rsidRPr="00874FED">
        <w:t>MSL924001 Process and interpret data</w:t>
      </w:r>
    </w:p>
    <w:p w:rsidR="00000000" w:rsidRPr="00874FED" w:rsidP="00874FED">
      <w:pPr>
        <w:pStyle w:val="ListBullet2"/>
      </w:pPr>
      <w:r w:rsidRPr="00874FED">
        <w:t>MSL943002 Participate in laboratory or field workplace safety</w:t>
      </w:r>
    </w:p>
    <w:p w:rsidR="00000000" w:rsidRPr="00874FED" w:rsidP="00874FED">
      <w:pPr>
        <w:pStyle w:val="ListBullet2"/>
      </w:pPr>
      <w:r w:rsidRPr="00874FED">
        <w:t>MSL974010 Perform mechanical tests</w:t>
      </w:r>
    </w:p>
    <w:p w:rsidR="00000000" w:rsidRPr="00874FED" w:rsidP="00874FED">
      <w:pPr>
        <w:pStyle w:val="ListBullet"/>
      </w:pPr>
      <w:r w:rsidRPr="00874FED">
        <w:t xml:space="preserve">Holistic assessment methods include: </w:t>
      </w:r>
    </w:p>
    <w:p w:rsidR="00000000" w:rsidRPr="00874FED" w:rsidP="00874FED">
      <w:pPr>
        <w:pStyle w:val="ListBullet2"/>
      </w:pPr>
      <w:r w:rsidRPr="00874FED">
        <w:t>review of the quality of survey data/results achieved by the candidate over time</w:t>
      </w:r>
    </w:p>
    <w:p w:rsidR="00000000" w:rsidRPr="00874FED" w:rsidP="00874FED">
      <w:pPr>
        <w:pStyle w:val="ListBullet2"/>
      </w:pPr>
      <w:r w:rsidRPr="00874FED">
        <w:t>review of records and workplace docume</w:t>
      </w:r>
      <w:r w:rsidRPr="00874FED">
        <w:t>ntation completed by the candidate (for accuracy and completeness)</w:t>
      </w:r>
    </w:p>
    <w:p w:rsidR="00000000" w:rsidRPr="00874FED" w:rsidP="00874FED">
      <w:pPr>
        <w:pStyle w:val="ListBullet2"/>
      </w:pPr>
      <w:r w:rsidRPr="00874FED">
        <w:t>observation of candidate safely handling, storing, transporting and using the instrument</w:t>
      </w:r>
    </w:p>
    <w:p w:rsidR="00000000" w:rsidRPr="00874FED" w:rsidP="00874FED">
      <w:pPr>
        <w:pStyle w:val="ListBullet2"/>
      </w:pPr>
      <w:r w:rsidRPr="00874FED">
        <w:t>feedback from peers and supervisors about the candidate’s consistent ability to safely use instrumen</w:t>
      </w:r>
      <w:r w:rsidRPr="00874FED">
        <w:t>ts that emit ionising radiation</w:t>
      </w:r>
    </w:p>
    <w:p w:rsidR="00000000" w:rsidRPr="00874FED" w:rsidP="00874FED">
      <w:pPr>
        <w:pStyle w:val="ListBullet2"/>
      </w:pPr>
      <w:r w:rsidRPr="00874FED">
        <w:t>review of the candidate’s response to suitable emergency simulations, case studies or scenarios</w:t>
      </w:r>
    </w:p>
    <w:p w:rsidR="00000000" w:rsidRPr="00874FED" w:rsidP="00874FED">
      <w:pPr>
        <w:pStyle w:val="ListBullet2"/>
      </w:pPr>
      <w:r w:rsidRPr="00874FED">
        <w:t>oral or written questioning to check required knowledge of radiation concepts and principles and the safe use of instruments tha</w:t>
      </w:r>
      <w:r w:rsidRPr="00874FED">
        <w:t>t emit ionising radiation.</w:t>
      </w:r>
    </w:p>
    <w:p w:rsidR="00000000" w:rsidRPr="00874FED" w:rsidP="00874FED">
      <w:pPr>
        <w:pStyle w:val="ListBullet"/>
      </w:pPr>
      <w:r w:rsidRPr="00874FED">
        <w:t>Access is required to all instruments, equipment, materials, workplace documentation, procedures and specifications associated with this unit, including, but not limited to:</w:t>
      </w:r>
    </w:p>
    <w:p w:rsidR="00000000" w:rsidRPr="00874FED" w:rsidP="00874FED">
      <w:pPr>
        <w:pStyle w:val="ListBullet2"/>
      </w:pPr>
      <w:r w:rsidRPr="00874FED">
        <w:t>instruments that emit ionising radiation and radiatio</w:t>
      </w:r>
      <w:r w:rsidRPr="00874FED">
        <w:t>n monitors/dosimeters and associated equipment, such as battery chargers</w:t>
      </w:r>
    </w:p>
    <w:p w:rsidR="00000000" w:rsidRPr="00874FED" w:rsidP="00874FED">
      <w:pPr>
        <w:pStyle w:val="ListBullet2"/>
      </w:pPr>
      <w:r w:rsidRPr="00874FED">
        <w:t>documentation, including user manuals, workplace safety procedures and test/survey methods</w:t>
      </w:r>
    </w:p>
    <w:p w:rsidR="00000000" w:rsidRPr="00874FED" w:rsidP="00874FED">
      <w:pPr>
        <w:pStyle w:val="ListBullet2"/>
      </w:pPr>
      <w:r w:rsidRPr="00874FED">
        <w:t>radiation warning signs and barriers</w:t>
      </w:r>
    </w:p>
    <w:p w:rsidR="00000000" w:rsidRPr="00874FED" w:rsidP="00874FED">
      <w:pPr>
        <w:pStyle w:val="ListBullet2"/>
      </w:pPr>
      <w:r w:rsidRPr="00874FED">
        <w:t>storage areas for nuclear sources</w:t>
      </w:r>
    </w:p>
    <w:p w:rsidR="00000000" w:rsidRPr="00874FED" w:rsidP="00874FED">
      <w:pPr>
        <w:pStyle w:val="ListBullet2"/>
      </w:pPr>
      <w:r w:rsidRPr="00874FED">
        <w:t>motor vehicles.</w:t>
      </w:r>
    </w:p>
    <w:p w:rsidR="00000000" w:rsidRPr="00874FED" w:rsidP="00874FED">
      <w:pPr>
        <w:pStyle w:val="ListBullet"/>
      </w:pPr>
      <w:r w:rsidRPr="00874FED">
        <w:t xml:space="preserve">Assessors must satisfy the assessor competency requirements that are in place at the time of the assessment as set by the VET regulator.  </w:t>
      </w:r>
    </w:p>
    <w:p w:rsidR="00000000" w:rsidRPr="00874FED" w:rsidP="00874FED">
      <w:pPr>
        <w:pStyle w:val="ListBullet"/>
      </w:pPr>
      <w:r w:rsidRPr="00874FED">
        <w:t>The assessor must demonstrate both technical competence and currency.</w:t>
      </w:r>
    </w:p>
    <w:p w:rsidR="00000000" w:rsidRPr="00874FED" w:rsidP="00874FED">
      <w:pPr>
        <w:pStyle w:val="ListBullet"/>
      </w:pPr>
      <w:r w:rsidRPr="00874FED">
        <w:t>Technical competence can be demonstrated throug</w:t>
      </w:r>
      <w:r w:rsidRPr="00874FED">
        <w:t>h:</w:t>
      </w:r>
    </w:p>
    <w:p w:rsidR="00000000" w:rsidRPr="00874FED" w:rsidP="00874FED">
      <w:pPr>
        <w:pStyle w:val="ListBullet2"/>
      </w:pPr>
      <w:r w:rsidRPr="00874FED">
        <w:t>relevant VET or other qualification/Statement of Attainment AND/OR</w:t>
      </w:r>
    </w:p>
    <w:p w:rsidR="00000000" w:rsidRPr="00874FED" w:rsidP="00874FED">
      <w:pPr>
        <w:pStyle w:val="ListBullet2"/>
      </w:pPr>
      <w:r w:rsidRPr="00874FED">
        <w:t>relevant workplace experience.</w:t>
      </w:r>
    </w:p>
    <w:p w:rsidR="00000000" w:rsidRPr="00874FED" w:rsidP="00874FED">
      <w:pPr>
        <w:pStyle w:val="ListBullet"/>
      </w:pPr>
      <w:r w:rsidRPr="00874FED">
        <w:t>Currency can be demonstrated through:</w:t>
      </w:r>
    </w:p>
    <w:p w:rsidR="00000000" w:rsidRPr="00874FED" w:rsidP="00874FED">
      <w:pPr>
        <w:pStyle w:val="ListBullet2"/>
      </w:pPr>
      <w:r w:rsidRPr="00874FED">
        <w:t>performing the competency being assessed as part of current employment OR</w:t>
      </w:r>
    </w:p>
    <w:p w:rsidR="00000000" w:rsidRPr="00874FED" w:rsidP="00874FED">
      <w:pPr>
        <w:pStyle w:val="ListBullet2"/>
      </w:pPr>
      <w:r w:rsidRPr="00874FED">
        <w:t>having consulted with a laboratory about</w:t>
      </w:r>
      <w:r w:rsidRPr="00874FED">
        <w:t xml:space="preserve"> performing the competency being assessed within the last twelve months.</w:t>
      </w:r>
    </w:p>
    <w:p w:rsidR="00000000" w:rsidRPr="00874FED" w:rsidP="00874FED">
      <w:pPr>
        <w:pStyle w:val="AllowPageBreak"/>
      </w:pPr>
    </w:p>
    <w:p w:rsidR="00000000" w:rsidRPr="00874FED" w:rsidP="00874FED">
      <w:pPr>
        <w:pStyle w:val="Heading1"/>
      </w:pPr>
      <w:bookmarkStart w:id="5" w:name="O_902783"/>
      <w:bookmarkEnd w:id="5"/>
      <w:r w:rsidRPr="00874FED">
        <w:t>Links</w:t>
      </w:r>
    </w:p>
    <w:p w:rsidR="00000000" w:rsidRPr="00874FED" w:rsidP="00874FED">
      <w:pPr>
        <w:pStyle w:val="BodyText"/>
      </w:pPr>
      <w:r w:rsidRPr="00874FED">
        <w:t>MSA Training Package Implementation Guides - http://mskills.org.au/training-packages/info/</w:t>
      </w:r>
    </w:p>
    <w:p w:rsidR="00000000" w:rsidRPr="00874FED" w:rsidP="00874FED"/>
    <w:sectPr w:rsidSect="00874F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ED" w:rsidRPr="00EE4CD5" w:rsidP="00EE4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D5" w:rsidP="00874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CD5" w:rsidP="00874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E4CD5" w:rsidP="00874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ED" w:rsidRPr="00EE4CD5" w:rsidP="00EE4C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D5" w:rsidRPr="002D2AF8" w:rsidP="00874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MSL943001 Work safely with instruments that emit ionising radiation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EE4CD5" w:rsidP="00874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AE2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B6F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94C0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FED"/>
  </w:style>
  <w:style w:type="character" w:customStyle="1" w:styleId="Heading1Char">
    <w:name w:val="Heading 1 Char"/>
    <w:basedOn w:val="DefaultParagraphFont"/>
    <w:link w:val="Heading1"/>
    <w:rsid w:val="00874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F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F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FE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4F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4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F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4FED"/>
    <w:rPr>
      <w:b/>
      <w:spacing w:val="0"/>
    </w:rPr>
  </w:style>
  <w:style w:type="paragraph" w:customStyle="1" w:styleId="SuperTitle">
    <w:name w:val="SuperTitle"/>
    <w:basedOn w:val="Title"/>
    <w:rsid w:val="00874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F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FED"/>
    <w:rPr>
      <w:i/>
    </w:rPr>
  </w:style>
  <w:style w:type="paragraph" w:styleId="Caption">
    <w:name w:val="caption"/>
    <w:basedOn w:val="BodyText"/>
    <w:next w:val="Normal"/>
    <w:qFormat/>
    <w:rsid w:val="00874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FED"/>
  </w:style>
  <w:style w:type="paragraph" w:styleId="TableofFigures">
    <w:name w:val="table of figures"/>
    <w:basedOn w:val="Normal"/>
    <w:next w:val="Normal"/>
    <w:semiHidden/>
    <w:rsid w:val="00874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FED"/>
    <w:pPr>
      <w:numPr>
        <w:numId w:val="11"/>
      </w:numPr>
    </w:pPr>
  </w:style>
  <w:style w:type="character" w:customStyle="1" w:styleId="WingdingSymbols">
    <w:name w:val="Wingding Symbols"/>
    <w:rsid w:val="00874FED"/>
    <w:rPr>
      <w:rFonts w:ascii="Wingdings" w:hAnsi="Wingdings"/>
    </w:rPr>
  </w:style>
  <w:style w:type="paragraph" w:customStyle="1" w:styleId="TableHeading">
    <w:name w:val="Table Heading"/>
    <w:basedOn w:val="HeadingBase"/>
    <w:rsid w:val="00874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FED"/>
    <w:rPr>
      <w:color w:val="0033CC"/>
      <w:u w:val="none"/>
    </w:rPr>
  </w:style>
  <w:style w:type="paragraph" w:customStyle="1" w:styleId="BodyTextRight">
    <w:name w:val="Body Text Right"/>
    <w:basedOn w:val="BodyText"/>
    <w:rsid w:val="00874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F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FED"/>
    <w:rPr>
      <w:sz w:val="32"/>
    </w:rPr>
  </w:style>
  <w:style w:type="paragraph" w:customStyle="1" w:styleId="HeadingProcedure">
    <w:name w:val="Heading Procedure"/>
    <w:basedOn w:val="HeadingBase"/>
    <w:next w:val="Normal"/>
    <w:rsid w:val="00874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FED"/>
    <w:pPr>
      <w:spacing w:before="60" w:after="60"/>
    </w:pPr>
  </w:style>
  <w:style w:type="paragraph" w:styleId="ListContinue">
    <w:name w:val="List Continue"/>
    <w:basedOn w:val="List"/>
    <w:rsid w:val="00874FED"/>
    <w:pPr>
      <w:ind w:firstLine="0"/>
    </w:pPr>
  </w:style>
  <w:style w:type="paragraph" w:customStyle="1" w:styleId="ListNote">
    <w:name w:val="List Note"/>
    <w:basedOn w:val="List"/>
    <w:rsid w:val="00874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FED"/>
    <w:rPr>
      <w:rFonts w:ascii="Courier New" w:hAnsi="Courier New"/>
    </w:rPr>
  </w:style>
  <w:style w:type="paragraph" w:customStyle="1" w:styleId="NoteBullet">
    <w:name w:val="Note Bullet"/>
    <w:basedOn w:val="Note"/>
    <w:rsid w:val="00874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F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4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FED"/>
    <w:rPr>
      <w:b/>
      <w:smallCaps/>
    </w:rPr>
  </w:style>
  <w:style w:type="paragraph" w:customStyle="1" w:styleId="TableListNumber">
    <w:name w:val="Table List Number"/>
    <w:basedOn w:val="ListNumber"/>
    <w:rsid w:val="00874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FED"/>
    <w:pPr>
      <w:numPr>
        <w:numId w:val="9"/>
      </w:numPr>
    </w:pPr>
  </w:style>
  <w:style w:type="paragraph" w:customStyle="1" w:styleId="ListAlpha2">
    <w:name w:val="List Alpha 2"/>
    <w:basedOn w:val="List2"/>
    <w:rsid w:val="00874FED"/>
    <w:pPr>
      <w:numPr>
        <w:numId w:val="8"/>
      </w:numPr>
    </w:pPr>
  </w:style>
  <w:style w:type="paragraph" w:styleId="List2">
    <w:name w:val="List 2"/>
    <w:basedOn w:val="BodyText"/>
    <w:rsid w:val="00874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FE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F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FED"/>
    <w:pPr>
      <w:numPr>
        <w:numId w:val="4"/>
      </w:numPr>
    </w:pPr>
  </w:style>
  <w:style w:type="paragraph" w:styleId="ListContinue2">
    <w:name w:val="List Continue 2"/>
    <w:basedOn w:val="List2"/>
    <w:rsid w:val="00874FED"/>
    <w:pPr>
      <w:ind w:firstLine="0"/>
    </w:pPr>
  </w:style>
  <w:style w:type="paragraph" w:styleId="ListContinue3">
    <w:name w:val="List Continue 3"/>
    <w:basedOn w:val="List3"/>
    <w:rsid w:val="00874FED"/>
    <w:pPr>
      <w:ind w:left="1021" w:firstLine="0"/>
    </w:pPr>
  </w:style>
  <w:style w:type="paragraph" w:styleId="ListContinue4">
    <w:name w:val="List Continue 4"/>
    <w:basedOn w:val="List4"/>
    <w:rsid w:val="00874FED"/>
    <w:pPr>
      <w:ind w:firstLine="0"/>
    </w:pPr>
  </w:style>
  <w:style w:type="paragraph" w:styleId="ListContinue5">
    <w:name w:val="List Continue 5"/>
    <w:basedOn w:val="List5"/>
    <w:rsid w:val="00874FED"/>
    <w:pPr>
      <w:ind w:firstLine="0"/>
    </w:pPr>
  </w:style>
  <w:style w:type="paragraph" w:styleId="ListNumber3">
    <w:name w:val="List Number 3"/>
    <w:basedOn w:val="List3"/>
    <w:rsid w:val="00874FED"/>
    <w:pPr>
      <w:numPr>
        <w:numId w:val="5"/>
      </w:numPr>
    </w:pPr>
  </w:style>
  <w:style w:type="paragraph" w:styleId="ListNumber4">
    <w:name w:val="List Number 4"/>
    <w:basedOn w:val="List4"/>
    <w:rsid w:val="00874FED"/>
    <w:pPr>
      <w:numPr>
        <w:numId w:val="6"/>
      </w:numPr>
    </w:pPr>
  </w:style>
  <w:style w:type="paragraph" w:styleId="ListNumber5">
    <w:name w:val="List Number 5"/>
    <w:basedOn w:val="List5"/>
    <w:rsid w:val="00874FED"/>
    <w:pPr>
      <w:numPr>
        <w:numId w:val="7"/>
      </w:numPr>
    </w:pPr>
  </w:style>
  <w:style w:type="paragraph" w:styleId="BlockText">
    <w:name w:val="Block Text"/>
    <w:basedOn w:val="Normal"/>
    <w:rsid w:val="00874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FED"/>
    <w:rPr>
      <w:sz w:val="16"/>
      <w:vertAlign w:val="superscript"/>
    </w:rPr>
  </w:style>
  <w:style w:type="character" w:customStyle="1" w:styleId="Symbols">
    <w:name w:val="Symbols"/>
    <w:basedOn w:val="DefaultParagraphFont"/>
    <w:rsid w:val="00874FED"/>
    <w:rPr>
      <w:rFonts w:ascii="Symbol" w:hAnsi="Symbol"/>
    </w:rPr>
  </w:style>
  <w:style w:type="character" w:customStyle="1" w:styleId="MenuOptions">
    <w:name w:val="Menu Options"/>
    <w:basedOn w:val="DefaultParagraphFont"/>
    <w:rsid w:val="00874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FED"/>
    <w:rPr>
      <w:b/>
    </w:rPr>
  </w:style>
  <w:style w:type="character" w:customStyle="1" w:styleId="Underlined">
    <w:name w:val="Underlined"/>
    <w:basedOn w:val="DefaultParagraphFont"/>
    <w:rsid w:val="00874FED"/>
    <w:rPr>
      <w:u w:val="single"/>
    </w:rPr>
  </w:style>
  <w:style w:type="paragraph" w:customStyle="1" w:styleId="TableBodyTextRight">
    <w:name w:val="Table Body Text Right"/>
    <w:basedOn w:val="TableBodyText"/>
    <w:rsid w:val="00874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FED"/>
    <w:rPr>
      <w:sz w:val="18"/>
    </w:rPr>
  </w:style>
  <w:style w:type="paragraph" w:customStyle="1" w:styleId="BodySmallRight">
    <w:name w:val="Body Small Right"/>
    <w:basedOn w:val="BodyTextRight"/>
    <w:rsid w:val="00874FED"/>
    <w:rPr>
      <w:sz w:val="18"/>
      <w:szCs w:val="18"/>
    </w:rPr>
  </w:style>
  <w:style w:type="paragraph" w:customStyle="1" w:styleId="MarginEdition">
    <w:name w:val="Margin Edition"/>
    <w:basedOn w:val="MarginNote"/>
    <w:rsid w:val="00874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FED"/>
    <w:rPr>
      <w:sz w:val="2"/>
      <w:szCs w:val="2"/>
    </w:rPr>
  </w:style>
  <w:style w:type="character" w:customStyle="1" w:styleId="Small">
    <w:name w:val="Small"/>
    <w:basedOn w:val="DefaultParagraphFont"/>
    <w:rsid w:val="00874FED"/>
    <w:rPr>
      <w:sz w:val="16"/>
    </w:rPr>
  </w:style>
  <w:style w:type="paragraph" w:customStyle="1" w:styleId="WideTable">
    <w:name w:val="Wide Table"/>
    <w:basedOn w:val="Normal"/>
    <w:rsid w:val="00874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FED"/>
  </w:style>
  <w:style w:type="paragraph" w:styleId="Quote">
    <w:name w:val="Quote"/>
    <w:basedOn w:val="Heading1"/>
    <w:link w:val="QuoteChar"/>
    <w:qFormat/>
    <w:rsid w:val="00874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FED"/>
    <w:pPr>
      <w:pageBreakBefore/>
    </w:pPr>
  </w:style>
  <w:style w:type="paragraph" w:customStyle="1" w:styleId="Border">
    <w:name w:val="Border"/>
    <w:basedOn w:val="Normal"/>
    <w:qFormat/>
    <w:rsid w:val="00874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FED"/>
    <w:rPr>
      <w:u w:val="single"/>
    </w:rPr>
  </w:style>
  <w:style w:type="character" w:customStyle="1" w:styleId="BoldandItalics">
    <w:name w:val="Bold and Italics"/>
    <w:qFormat/>
    <w:rsid w:val="00874FED"/>
    <w:rPr>
      <w:b/>
      <w:i/>
      <w:u w:val="none"/>
    </w:rPr>
  </w:style>
  <w:style w:type="paragraph" w:styleId="BalloonText">
    <w:name w:val="Balloon Text"/>
    <w:basedOn w:val="Normal"/>
    <w:link w:val="BalloonTextChar"/>
    <w:rsid w:val="00874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F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F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4826</Characters>
  <Application>Microsoft Office Word</Application>
  <DocSecurity>0</DocSecurity>
  <Lines>101</Lines>
  <Paragraphs>58</Paragraphs>
  <ScaleCrop>false</ScaleCrop>
  <Company>Author-it Software Corporation Ltd.</Company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MSL943001 Work safely with instruments that emit ionising radiation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2016-03-01T06:17:00Z</dcterms:created>
  <dcterms:modified xsi:type="dcterms:W3CDTF">2016-03-01T06:17:00Z</dcterms:modified>
</cp:coreProperties>
</file>