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7144" w:rsidP="00D97144">
      <w:pPr>
        <w:pStyle w:val="Title"/>
      </w:pPr>
      <w:r>
        <w:fldChar w:fldCharType="begin"/>
      </w:r>
      <w:r>
        <w:instrText xml:space="preserve"> TITLE   \* MERGEFORMAT </w:instrText>
      </w:r>
      <w:r>
        <w:fldChar w:fldCharType="separate"/>
      </w:r>
      <w:r>
        <w:t>MSL936001 Maintain quality system and continuous improvement processes within work or functional area</w:t>
      </w:r>
      <w:r>
        <w:fldChar w:fldCharType="end"/>
      </w:r>
    </w:p>
    <w:p w:rsidR="00D97144" w:rsidP="00D97144">
      <w:pPr>
        <w:pStyle w:val="Version"/>
        <w:sectPr w:rsidSect="001D11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112E" w:rsidP="001D112E">
      <w:pPr>
        <w:pStyle w:val="SuperHeading"/>
      </w:pPr>
      <w:r w:rsidRPr="001D112E">
        <w:t>MSL936001 Maintain quality system and continuous improvement processes within work or functional area</w:t>
      </w:r>
    </w:p>
    <w:p w:rsidR="00000000" w:rsidRPr="001D112E" w:rsidP="001D112E">
      <w:pPr>
        <w:pStyle w:val="Heading1"/>
      </w:pPr>
      <w:bookmarkStart w:id="1" w:name="O_902370"/>
      <w:bookmarkEnd w:id="1"/>
      <w:r w:rsidRPr="001D112E">
        <w:t>Modification History</w:t>
      </w:r>
    </w:p>
    <w:p w:rsidR="00000000" w:rsidRPr="001D112E" w:rsidP="001D112E">
      <w:pPr>
        <w:pStyle w:val="BodyText"/>
      </w:pPr>
      <w:r w:rsidRPr="001D112E">
        <w:t xml:space="preserve">Release 1. Supersedes and is equivalent to MSL936001A Maintain quality system and continuous improvement processes within work/functional area  </w:t>
      </w:r>
    </w:p>
    <w:p w:rsidR="00000000" w:rsidRPr="001D112E" w:rsidP="001D112E">
      <w:pPr>
        <w:pStyle w:val="AllowPageBreak"/>
      </w:pPr>
    </w:p>
    <w:p w:rsidR="00000000" w:rsidRPr="001D112E" w:rsidP="001D112E">
      <w:pPr>
        <w:pStyle w:val="Heading1"/>
      </w:pPr>
      <w:bookmarkStart w:id="2" w:name="O_902378"/>
      <w:bookmarkEnd w:id="2"/>
      <w:r w:rsidRPr="001D112E">
        <w:t>Application</w:t>
      </w:r>
    </w:p>
    <w:p w:rsidR="00000000" w:rsidRPr="001D112E" w:rsidP="001D112E">
      <w:pPr>
        <w:pStyle w:val="BodyText"/>
      </w:pPr>
      <w:r w:rsidRPr="001D112E">
        <w:t xml:space="preserve">This unit of competency covers responsibility for the day-to-day operation of the </w:t>
      </w:r>
      <w:r w:rsidRPr="001D112E">
        <w:t xml:space="preserve">work or functional area and ensuring that quality system requirements are met and continuous improvements are initiated. </w:t>
      </w:r>
    </w:p>
    <w:p w:rsidR="00000000" w:rsidRPr="001D112E" w:rsidP="001D112E">
      <w:pPr>
        <w:pStyle w:val="BodyText"/>
      </w:pPr>
    </w:p>
    <w:p w:rsidR="00000000" w:rsidRPr="001D112E" w:rsidP="001D112E">
      <w:pPr>
        <w:pStyle w:val="BodyText"/>
      </w:pPr>
      <w:r w:rsidRPr="001D112E">
        <w:t>This unit of competency is applicable to senior technical officers and laboratory supervisors working in all industry sectors. Qualit</w:t>
      </w:r>
      <w:r w:rsidRPr="001D112E">
        <w:t xml:space="preserve">y audits and evaluations for the work area may be undertaken as an individual or as part of a team under broad direction from scientists/medical staff/engineers. </w:t>
      </w:r>
    </w:p>
    <w:p w:rsidR="00000000" w:rsidRPr="001D112E" w:rsidP="001D112E">
      <w:pPr>
        <w:pStyle w:val="BodyText"/>
      </w:pPr>
    </w:p>
    <w:p w:rsidR="00000000" w:rsidRPr="001D112E" w:rsidP="001D112E">
      <w:pPr>
        <w:pStyle w:val="BodyText"/>
      </w:pPr>
      <w:r w:rsidRPr="001D112E">
        <w:t xml:space="preserve">While no specific licensing or certification requirements apply to this unit at the time of </w:t>
      </w:r>
      <w:r w:rsidRPr="001D112E">
        <w:t>publication, laboratory operations are governed by relevant legislation, regulations and/or external accreditation requirements. Local requirements should be checked.</w:t>
      </w:r>
    </w:p>
    <w:p w:rsidR="00000000" w:rsidRPr="001D112E" w:rsidP="001D112E">
      <w:pPr>
        <w:pStyle w:val="AllowPageBreak"/>
      </w:pPr>
    </w:p>
    <w:p w:rsidR="00000000" w:rsidRPr="001D112E" w:rsidP="001D112E">
      <w:pPr>
        <w:pStyle w:val="Heading1"/>
      </w:pPr>
      <w:bookmarkStart w:id="3" w:name="O_902377"/>
      <w:bookmarkEnd w:id="3"/>
      <w:r w:rsidRPr="001D112E">
        <w:t>Pre-requisite Unit</w:t>
      </w:r>
    </w:p>
    <w:p w:rsidR="00000000" w:rsidRPr="001D112E" w:rsidP="001D112E">
      <w:pPr>
        <w:pStyle w:val="BodyText"/>
      </w:pPr>
      <w:r w:rsidRPr="001D112E">
        <w:t>Nil</w:t>
      </w:r>
    </w:p>
    <w:p w:rsidR="00000000" w:rsidRPr="001D112E" w:rsidP="001D112E">
      <w:pPr>
        <w:pStyle w:val="AllowPageBreak"/>
      </w:pPr>
    </w:p>
    <w:p w:rsidR="00000000" w:rsidRPr="001D112E" w:rsidP="001D112E">
      <w:pPr>
        <w:pStyle w:val="Heading1"/>
      </w:pPr>
      <w:bookmarkStart w:id="4" w:name="O_902376"/>
      <w:bookmarkEnd w:id="4"/>
      <w:r w:rsidRPr="001D112E">
        <w:t>Competency Field</w:t>
      </w:r>
    </w:p>
    <w:p w:rsidR="00000000" w:rsidRPr="001D112E" w:rsidP="001D112E">
      <w:pPr>
        <w:pStyle w:val="BodyText"/>
      </w:pPr>
      <w:r w:rsidRPr="001D112E">
        <w:t xml:space="preserve">Quality </w:t>
      </w:r>
    </w:p>
    <w:p w:rsidR="00000000" w:rsidRPr="001D112E" w:rsidP="001D112E">
      <w:pPr>
        <w:pStyle w:val="AllowPageBreak"/>
      </w:pPr>
    </w:p>
    <w:p w:rsidR="00000000" w:rsidRPr="001D112E" w:rsidP="001D112E">
      <w:pPr>
        <w:pStyle w:val="Heading1"/>
      </w:pPr>
      <w:bookmarkStart w:id="5" w:name="O_902375"/>
      <w:bookmarkEnd w:id="5"/>
      <w:r w:rsidRPr="001D112E">
        <w:t>Unit Sector</w:t>
      </w:r>
    </w:p>
    <w:p w:rsidR="00000000" w:rsidRPr="001D112E" w:rsidP="001D112E">
      <w:pPr>
        <w:pStyle w:val="Heading1"/>
      </w:pPr>
      <w:bookmarkStart w:id="6" w:name="O_902374"/>
      <w:bookmarkEnd w:id="6"/>
      <w:r w:rsidRPr="001D112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D112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t>Performance criteria describe the performance needed to demonstrate achievement of the element.</w:t>
            </w:r>
          </w:p>
        </w:tc>
      </w:tr>
      <w:tr w:rsidTr="001D11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D112E" w:rsidP="001D112E">
            <w:pPr>
              <w:pStyle w:val="BodyText"/>
            </w:pPr>
            <w:r w:rsidRPr="001D112E">
              <w:t>1</w:t>
            </w:r>
          </w:p>
        </w:tc>
        <w:tc>
          <w:tcPr>
            <w:tcW w:w="1962" w:type="dxa"/>
            <w:vMerge w:val="restart"/>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rPr>
                <w:rStyle w:val="SpecialBold"/>
              </w:rPr>
              <w:t xml:space="preserve">Develop and maintain quality </w:t>
            </w:r>
            <w:r w:rsidRPr="001D112E">
              <w:rPr>
                <w:rStyle w:val="SpecialBold"/>
              </w:rPr>
              <w:t>framework within work area</w:t>
            </w:r>
          </w:p>
        </w:tc>
        <w:tc>
          <w:tcPr>
            <w:tcW w:w="770" w:type="dxa"/>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t>1.1</w:t>
            </w:r>
          </w:p>
        </w:tc>
        <w:tc>
          <w:tcPr>
            <w:tcW w:w="5610" w:type="dxa"/>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t>Distribute and explain information about the workplace's quality system to personnel</w:t>
            </w:r>
          </w:p>
        </w:tc>
      </w:tr>
      <w:tr w:rsidTr="001D11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t>1.2</w:t>
            </w:r>
          </w:p>
        </w:tc>
        <w:tc>
          <w:tcPr>
            <w:tcW w:w="5610" w:type="dxa"/>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t>Encourage personnel to participate in improvement processes and to assume responsibility for quality out</w:t>
            </w:r>
            <w:r w:rsidRPr="001D112E">
              <w:t>puts</w:t>
            </w:r>
          </w:p>
        </w:tc>
      </w:tr>
      <w:tr w:rsidTr="001D11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t>1.3</w:t>
            </w:r>
          </w:p>
        </w:tc>
        <w:tc>
          <w:tcPr>
            <w:tcW w:w="5610" w:type="dxa"/>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t>Allocate responsibilities for quality within work area in accordance with quality system</w:t>
            </w:r>
          </w:p>
        </w:tc>
      </w:tr>
      <w:tr w:rsidTr="001D11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t>1.4</w:t>
            </w:r>
          </w:p>
        </w:tc>
        <w:tc>
          <w:tcPr>
            <w:tcW w:w="5610" w:type="dxa"/>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t>Provide coaching and mentoring to ensure that personnel are able to meet their responsibilities and quality requirements</w:t>
            </w:r>
          </w:p>
        </w:tc>
      </w:tr>
      <w:tr w:rsidTr="001D112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r>
      <w:tr w:rsidTr="001D11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D112E" w:rsidP="001D112E">
            <w:pPr>
              <w:pStyle w:val="BodyText"/>
            </w:pPr>
            <w:r w:rsidRPr="001D112E">
              <w:t>2</w:t>
            </w:r>
          </w:p>
        </w:tc>
        <w:tc>
          <w:tcPr>
            <w:tcW w:w="1962" w:type="dxa"/>
            <w:vMerge w:val="restart"/>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rPr>
                <w:rStyle w:val="SpecialBold"/>
              </w:rPr>
              <w:t>Maintain quality documentation</w:t>
            </w:r>
          </w:p>
        </w:tc>
        <w:tc>
          <w:tcPr>
            <w:tcW w:w="770" w:type="dxa"/>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t>2.1</w:t>
            </w:r>
          </w:p>
        </w:tc>
        <w:tc>
          <w:tcPr>
            <w:tcW w:w="5610" w:type="dxa"/>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t>Identify required quality documentation, including records of improvement plans and initiatives</w:t>
            </w:r>
          </w:p>
        </w:tc>
      </w:tr>
      <w:tr w:rsidTr="001D11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t>2.2</w:t>
            </w:r>
          </w:p>
        </w:tc>
        <w:tc>
          <w:tcPr>
            <w:tcW w:w="5610" w:type="dxa"/>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t>Prepare and maintain quality documentation and keep accurate data records</w:t>
            </w:r>
          </w:p>
        </w:tc>
      </w:tr>
      <w:tr w:rsidTr="001D11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t>2.3</w:t>
            </w:r>
          </w:p>
        </w:tc>
        <w:tc>
          <w:tcPr>
            <w:tcW w:w="5610" w:type="dxa"/>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t>Maintain document control system for work area</w:t>
            </w:r>
          </w:p>
        </w:tc>
      </w:tr>
      <w:tr w:rsidTr="001D11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t>2.4</w:t>
            </w:r>
          </w:p>
        </w:tc>
        <w:tc>
          <w:tcPr>
            <w:tcW w:w="5610" w:type="dxa"/>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t>Contribute to the development and revision of quality manuals and work instructions for the work area</w:t>
            </w:r>
          </w:p>
        </w:tc>
      </w:tr>
      <w:tr w:rsidTr="001D11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t>2.5</w:t>
            </w:r>
          </w:p>
        </w:tc>
        <w:tc>
          <w:tcPr>
            <w:tcW w:w="5610" w:type="dxa"/>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t>Develop and implement inspection and test plans for quality controlled products</w:t>
            </w:r>
          </w:p>
        </w:tc>
      </w:tr>
      <w:tr w:rsidTr="001D112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r>
      <w:tr w:rsidTr="001D11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D112E" w:rsidP="001D112E">
            <w:pPr>
              <w:pStyle w:val="BodyText"/>
            </w:pPr>
            <w:r w:rsidRPr="001D112E">
              <w:t>3</w:t>
            </w:r>
          </w:p>
        </w:tc>
        <w:tc>
          <w:tcPr>
            <w:tcW w:w="1962" w:type="dxa"/>
            <w:vMerge w:val="restart"/>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rPr>
                <w:rStyle w:val="SpecialBold"/>
              </w:rPr>
              <w:t>Provide training in quality systems and improvement processes</w:t>
            </w:r>
          </w:p>
        </w:tc>
        <w:tc>
          <w:tcPr>
            <w:tcW w:w="770" w:type="dxa"/>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t>3.1</w:t>
            </w:r>
          </w:p>
        </w:tc>
        <w:tc>
          <w:tcPr>
            <w:tcW w:w="5610" w:type="dxa"/>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t>Analyse roles, duties and current competency of relevant personnel</w:t>
            </w:r>
          </w:p>
        </w:tc>
      </w:tr>
      <w:tr w:rsidTr="001D11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t>3.2</w:t>
            </w:r>
          </w:p>
        </w:tc>
        <w:tc>
          <w:tcPr>
            <w:tcW w:w="5610" w:type="dxa"/>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t>Identify training needs in relation to quality system and continuous improvement processes</w:t>
            </w:r>
          </w:p>
        </w:tc>
      </w:tr>
      <w:tr w:rsidTr="001D11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t>3.3</w:t>
            </w:r>
          </w:p>
        </w:tc>
        <w:tc>
          <w:tcPr>
            <w:tcW w:w="5610" w:type="dxa"/>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t>Identify opportunities for skills development and/or training programs to meet needs</w:t>
            </w:r>
          </w:p>
        </w:tc>
      </w:tr>
      <w:tr w:rsidTr="001D11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t>3.4</w:t>
            </w:r>
          </w:p>
        </w:tc>
        <w:tc>
          <w:tcPr>
            <w:tcW w:w="5610" w:type="dxa"/>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t>Initiate and monitor training and skills development programs</w:t>
            </w:r>
          </w:p>
        </w:tc>
      </w:tr>
      <w:tr w:rsidTr="001D11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t>3.5</w:t>
            </w:r>
          </w:p>
        </w:tc>
        <w:tc>
          <w:tcPr>
            <w:tcW w:w="5610" w:type="dxa"/>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t>Maintain accurate training records</w:t>
            </w:r>
          </w:p>
        </w:tc>
      </w:tr>
      <w:tr w:rsidTr="001D112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r>
      <w:tr w:rsidTr="001D11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D112E" w:rsidP="001D112E">
            <w:pPr>
              <w:pStyle w:val="BodyText"/>
            </w:pPr>
            <w:r w:rsidRPr="001D112E">
              <w:t>4</w:t>
            </w:r>
          </w:p>
        </w:tc>
        <w:tc>
          <w:tcPr>
            <w:tcW w:w="1962" w:type="dxa"/>
            <w:vMerge w:val="restart"/>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rPr>
                <w:rStyle w:val="SpecialBold"/>
              </w:rPr>
              <w:t>Optimise and report performance</w:t>
            </w:r>
          </w:p>
        </w:tc>
        <w:tc>
          <w:tcPr>
            <w:tcW w:w="770" w:type="dxa"/>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t>4.1</w:t>
            </w:r>
          </w:p>
        </w:tc>
        <w:tc>
          <w:tcPr>
            <w:tcW w:w="5610" w:type="dxa"/>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t>Rev</w:t>
            </w:r>
            <w:r w:rsidRPr="001D112E">
              <w:t>iew performance outcomes to identify ways in which planning and operations could be improved</w:t>
            </w:r>
          </w:p>
        </w:tc>
      </w:tr>
      <w:tr w:rsidTr="001D11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t>4.2</w:t>
            </w:r>
          </w:p>
        </w:tc>
        <w:tc>
          <w:tcPr>
            <w:tcW w:w="5610" w:type="dxa"/>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t>Enhance customer service through the use of quality improvement techniques and processes</w:t>
            </w:r>
          </w:p>
        </w:tc>
      </w:tr>
      <w:tr w:rsidTr="001D11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t>4.3</w:t>
            </w:r>
          </w:p>
        </w:tc>
        <w:tc>
          <w:tcPr>
            <w:tcW w:w="5610" w:type="dxa"/>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t>Adjust plans and communicate these to personnel involved in their development and implementation</w:t>
            </w:r>
          </w:p>
        </w:tc>
      </w:tr>
      <w:tr w:rsidTr="001D112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r>
      <w:tr w:rsidTr="001D11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D112E" w:rsidP="001D112E">
            <w:pPr>
              <w:pStyle w:val="BodyText"/>
            </w:pPr>
            <w:r w:rsidRPr="001D112E">
              <w:t>5</w:t>
            </w:r>
          </w:p>
        </w:tc>
        <w:tc>
          <w:tcPr>
            <w:tcW w:w="1962" w:type="dxa"/>
            <w:vMerge w:val="restart"/>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rPr>
                <w:rStyle w:val="SpecialBold"/>
              </w:rPr>
              <w:t>Evaluate relevant components of quality system</w:t>
            </w:r>
          </w:p>
        </w:tc>
        <w:tc>
          <w:tcPr>
            <w:tcW w:w="770" w:type="dxa"/>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t>5.1</w:t>
            </w:r>
          </w:p>
        </w:tc>
        <w:tc>
          <w:tcPr>
            <w:tcW w:w="5610" w:type="dxa"/>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t>Undertake regular audits of components of the quality system that relate to the work area</w:t>
            </w:r>
          </w:p>
        </w:tc>
      </w:tr>
      <w:tr w:rsidTr="001D11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t>5.2</w:t>
            </w:r>
          </w:p>
        </w:tc>
        <w:tc>
          <w:tcPr>
            <w:tcW w:w="5610" w:type="dxa"/>
            <w:tcBorders>
              <w:top w:val="nil"/>
              <w:left w:val="nil"/>
              <w:bottom w:val="nil"/>
              <w:right w:val="nil"/>
            </w:tcBorders>
            <w:tcMar>
              <w:top w:w="0" w:type="dxa"/>
              <w:left w:w="62" w:type="dxa"/>
              <w:bottom w:w="0" w:type="dxa"/>
              <w:right w:w="62" w:type="dxa"/>
            </w:tcMar>
          </w:tcPr>
          <w:p w:rsidR="00000000" w:rsidRPr="001D112E" w:rsidP="001D112E">
            <w:pPr>
              <w:pStyle w:val="BodyText"/>
            </w:pPr>
            <w:r w:rsidRPr="001D112E">
              <w:t>Implement improvements in the quality system in accordance with own level of responsibility and workplace procedures</w:t>
            </w:r>
          </w:p>
        </w:tc>
      </w:tr>
    </w:tbl>
    <w:p w:rsidR="00000000" w:rsidRPr="001D112E" w:rsidP="001D112E">
      <w:pPr>
        <w:pStyle w:val="BodyText"/>
      </w:pPr>
    </w:p>
    <w:p w:rsidR="00000000" w:rsidRPr="001D112E" w:rsidP="001D112E">
      <w:pPr>
        <w:pStyle w:val="AllowPageBreak"/>
      </w:pPr>
    </w:p>
    <w:p w:rsidR="00000000" w:rsidRPr="001D112E" w:rsidP="001D112E">
      <w:pPr>
        <w:pStyle w:val="Heading1"/>
      </w:pPr>
      <w:bookmarkStart w:id="7" w:name="O_902373"/>
      <w:bookmarkEnd w:id="7"/>
      <w:r w:rsidRPr="001D112E">
        <w:t>Foundation Skills</w:t>
      </w:r>
    </w:p>
    <w:p w:rsidR="00000000" w:rsidRPr="001D112E" w:rsidP="001D112E">
      <w:pPr>
        <w:pStyle w:val="BodyText"/>
      </w:pPr>
      <w:r w:rsidRPr="001D112E">
        <w:t>This section describes those language, literacy, numeracy and employment skills that are essential to performance.</w:t>
      </w:r>
    </w:p>
    <w:p w:rsidR="00000000" w:rsidRPr="001D112E" w:rsidP="001D112E">
      <w:pPr>
        <w:pStyle w:val="BodyText"/>
      </w:pPr>
    </w:p>
    <w:p w:rsidR="00000000" w:rsidRPr="001D112E" w:rsidP="001D112E">
      <w:pPr>
        <w:pStyle w:val="BodyText"/>
      </w:pPr>
      <w:r w:rsidRPr="001D112E">
        <w:t>Foundation skills essential to performance are explicit in the performance criteria of this unit of competency.</w:t>
      </w:r>
    </w:p>
    <w:p w:rsidR="00000000" w:rsidRPr="001D112E" w:rsidP="001D112E">
      <w:pPr>
        <w:pStyle w:val="AllowPageBreak"/>
      </w:pPr>
    </w:p>
    <w:p w:rsidR="00000000" w:rsidRPr="001D112E" w:rsidP="001D112E">
      <w:pPr>
        <w:pStyle w:val="Heading1"/>
      </w:pPr>
      <w:bookmarkStart w:id="8" w:name="O_902372"/>
      <w:bookmarkEnd w:id="8"/>
      <w:r w:rsidRPr="001D112E">
        <w:t>Range of Co</w:t>
      </w:r>
      <w:r w:rsidRPr="001D112E">
        <w:t>nditions</w:t>
      </w:r>
    </w:p>
    <w:tbl>
      <w:tblPr>
        <w:tblW w:w="0" w:type="auto"/>
        <w:tblCellMar>
          <w:left w:w="62" w:type="dxa"/>
          <w:right w:w="62" w:type="dxa"/>
        </w:tblCellMar>
        <w:tblLook w:val="0000"/>
      </w:tblPr>
      <w:tblGrid>
        <w:gridCol w:w="2163"/>
        <w:gridCol w:w="7033"/>
      </w:tblGrid>
      <w:tr w:rsidTr="00D9714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t>This field allows for different work environments and conditions that may affect performance. Essential operating conditions that may be present (depending on the work situation, needs of the candidate, accessibility of the item, and local industr</w:t>
            </w:r>
            <w:r w:rsidRPr="001D112E">
              <w:t>y and regional contexts) are included.</w:t>
            </w:r>
          </w:p>
        </w:tc>
      </w:tr>
      <w:tr w:rsidTr="00D971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1D112E" w:rsidP="001D112E">
            <w:pPr>
              <w:pStyle w:val="BodyText"/>
            </w:pPr>
            <w:r w:rsidRPr="001D112E">
              <w:t>Standards, codes, procedures and/or workplace requirements include the latest version of one of more of:</w:t>
            </w:r>
          </w:p>
          <w:p w:rsidR="00000000" w:rsidRPr="001D112E" w:rsidP="001D112E">
            <w:pPr>
              <w:pStyle w:val="ListBullet"/>
            </w:pPr>
            <w:r w:rsidRPr="001D112E">
              <w:t>Australian and international standards, codes and</w:t>
            </w:r>
            <w:r w:rsidRPr="001D112E">
              <w:t xml:space="preserve"> guidelines covering the competence of testing and calibration laboratories, laboratory design and construction, laboratory safety, quality management systems, documentation and plans, environmental management, measurement management, accuracy of measureme</w:t>
            </w:r>
            <w:r w:rsidRPr="001D112E">
              <w:t>nt methods and results, expression of uncertainty (GUM) and principles of good laboratory practice (GLP)</w:t>
            </w:r>
          </w:p>
          <w:p w:rsidR="00000000" w:rsidRPr="001D112E" w:rsidP="001D112E">
            <w:pPr>
              <w:pStyle w:val="ListBullet"/>
            </w:pPr>
            <w:r w:rsidRPr="001D112E">
              <w:t>national standards and codes of practice for work health and safety (WHS), and national environment protection measures</w:t>
            </w:r>
          </w:p>
          <w:p w:rsidR="00000000" w:rsidRPr="001D112E" w:rsidP="001D112E">
            <w:pPr>
              <w:pStyle w:val="ListBullet"/>
            </w:pPr>
            <w:r w:rsidRPr="001D112E">
              <w:t>national measurement regulations and guidelines</w:t>
            </w:r>
          </w:p>
          <w:p w:rsidR="00000000" w:rsidRPr="001D112E" w:rsidP="001D112E">
            <w:pPr>
              <w:pStyle w:val="ListBullet"/>
            </w:pPr>
            <w:r w:rsidRPr="001D112E">
              <w:t>registration/licensing and/or National Association of Testing Authorities (NATA) accreditation requirements</w:t>
            </w:r>
          </w:p>
          <w:p w:rsidR="00000000" w:rsidRPr="001D112E" w:rsidP="001D112E">
            <w:pPr>
              <w:pStyle w:val="ListBullet"/>
            </w:pPr>
            <w:r w:rsidRPr="001D112E">
              <w:t>industry-specific codes, guidelines, procedures and methods, such as:</w:t>
            </w:r>
          </w:p>
          <w:p w:rsidR="00000000" w:rsidRPr="001D112E" w:rsidP="001D112E">
            <w:pPr>
              <w:pStyle w:val="ListBullet2"/>
            </w:pPr>
            <w:r w:rsidRPr="001D112E">
              <w:t>National Health and Medical R</w:t>
            </w:r>
            <w:r w:rsidRPr="001D112E">
              <w:t>esearch Council (NHMRC) Guidelines</w:t>
            </w:r>
          </w:p>
          <w:p w:rsidR="00000000" w:rsidRPr="001D112E" w:rsidP="001D112E">
            <w:pPr>
              <w:pStyle w:val="ListBullet2"/>
            </w:pPr>
            <w:r w:rsidRPr="001D112E">
              <w:t>Association of Analytical Communities International (AOAC International) Official Methods of Analysis</w:t>
            </w:r>
          </w:p>
          <w:p w:rsidR="00000000" w:rsidRPr="001D112E" w:rsidP="001D112E">
            <w:pPr>
              <w:pStyle w:val="ListBullet2"/>
            </w:pPr>
            <w:r w:rsidRPr="001D112E">
              <w:t>Australian code of good manufacturing practice for medicinal products (GMP) and Therapeutic Goods Regulations</w:t>
            </w:r>
          </w:p>
          <w:p w:rsidR="00000000" w:rsidRPr="001D112E" w:rsidP="001D112E">
            <w:pPr>
              <w:pStyle w:val="ListBullet2"/>
            </w:pPr>
            <w:r w:rsidRPr="001D112E">
              <w:t>Australia</w:t>
            </w:r>
            <w:r w:rsidRPr="001D112E">
              <w:t xml:space="preserve"> New Zealand Food Standards (ANZFS) Code</w:t>
            </w:r>
          </w:p>
          <w:p w:rsidR="00000000" w:rsidRPr="001D112E" w:rsidP="001D112E">
            <w:pPr>
              <w:pStyle w:val="ListBullet2"/>
            </w:pPr>
            <w:r w:rsidRPr="001D112E">
              <w:t>gene technology regulations</w:t>
            </w:r>
          </w:p>
          <w:p w:rsidR="00000000" w:rsidRPr="001D112E" w:rsidP="001D112E">
            <w:pPr>
              <w:pStyle w:val="ListBullet2"/>
            </w:pPr>
            <w:r w:rsidRPr="001D112E">
              <w:t>animal welfare legislation and codes of practice</w:t>
            </w:r>
          </w:p>
          <w:p w:rsidR="00000000" w:rsidRPr="001D112E" w:rsidP="001D112E">
            <w:pPr>
              <w:pStyle w:val="ListBullet"/>
            </w:pPr>
            <w:r w:rsidRPr="001D112E">
              <w:t xml:space="preserve">workplace documents, such as standard operating procedures (SOPs); quality and equipment manuals; calibration and maintenance schedules; </w:t>
            </w:r>
            <w:r w:rsidRPr="001D112E">
              <w:t>material safety data sheets (MSDS) and safety procedures; material, production and product specifications; production and laboratory schedules; workplace recording and reporting procedures; and waste minimisation and safe disposal procedures</w:t>
            </w:r>
          </w:p>
          <w:p w:rsidR="00000000" w:rsidRPr="001D112E" w:rsidP="001D112E">
            <w:pPr>
              <w:pStyle w:val="ListBullet"/>
            </w:pPr>
            <w:r w:rsidRPr="001D112E">
              <w:t>customer-speci</w:t>
            </w:r>
            <w:r w:rsidRPr="001D112E">
              <w:t>fic product specifications and quality requirements</w:t>
            </w:r>
          </w:p>
          <w:p w:rsidR="00000000" w:rsidP="001D112E">
            <w:pPr>
              <w:pStyle w:val="BodyText"/>
              <w:rPr>
                <w:lang w:val="en-NZ"/>
              </w:rPr>
            </w:pPr>
          </w:p>
        </w:tc>
      </w:tr>
      <w:tr w:rsidTr="00D971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rPr>
                <w:rStyle w:val="SpecialBold"/>
              </w:rPr>
              <w:t xml:space="preserve">Quality audits </w:t>
            </w:r>
          </w:p>
        </w:tc>
        <w:tc>
          <w:tcPr>
            <w:tcW w:w="0" w:type="auto"/>
            <w:tcBorders>
              <w:top w:val="nil"/>
              <w:left w:val="nil"/>
              <w:bottom w:val="nil"/>
              <w:right w:val="nil"/>
            </w:tcBorders>
            <w:tcMar>
              <w:top w:w="0" w:type="dxa"/>
              <w:left w:w="62" w:type="dxa"/>
              <w:bottom w:w="0" w:type="dxa"/>
              <w:right w:w="62" w:type="dxa"/>
            </w:tcMar>
          </w:tcPr>
          <w:p w:rsidR="00000000" w:rsidRPr="001D112E" w:rsidP="001D112E">
            <w:pPr>
              <w:pStyle w:val="BodyText"/>
            </w:pPr>
            <w:r w:rsidRPr="001D112E">
              <w:t>Quality audits include one or more of:</w:t>
            </w:r>
          </w:p>
          <w:p w:rsidR="00000000" w:rsidRPr="001D112E" w:rsidP="001D112E">
            <w:pPr>
              <w:pStyle w:val="ListBullet"/>
            </w:pPr>
            <w:r w:rsidRPr="001D112E">
              <w:t>regular checks of laboratory procedures</w:t>
            </w:r>
          </w:p>
          <w:p w:rsidR="00000000" w:rsidRPr="001D112E" w:rsidP="001D112E">
            <w:pPr>
              <w:pStyle w:val="ListBullet"/>
            </w:pPr>
            <w:r w:rsidRPr="001D112E">
              <w:t>d</w:t>
            </w:r>
            <w:r w:rsidRPr="001D112E">
              <w:t>aily and weekly checks of specimen reception, instrumentation and results for control and standard samples to identify non-conformance and problem areas</w:t>
            </w:r>
          </w:p>
          <w:p w:rsidR="00000000" w:rsidRPr="001D112E" w:rsidP="001D112E">
            <w:pPr>
              <w:pStyle w:val="ListBullet"/>
            </w:pPr>
            <w:r w:rsidRPr="001D112E">
              <w:t>maintenance of appropriate certified reference materials</w:t>
            </w:r>
          </w:p>
          <w:p w:rsidR="00000000" w:rsidRPr="001D112E" w:rsidP="001D112E">
            <w:pPr>
              <w:pStyle w:val="ListBullet"/>
            </w:pPr>
            <w:r w:rsidRPr="001D112E">
              <w:t>participation in external quality assurance pr</w:t>
            </w:r>
            <w:r w:rsidRPr="001D112E">
              <w:t>ograms</w:t>
            </w:r>
          </w:p>
          <w:p w:rsidR="00000000" w:rsidP="001D112E">
            <w:pPr>
              <w:pStyle w:val="BodyText"/>
              <w:rPr>
                <w:lang w:val="en-NZ"/>
              </w:rPr>
            </w:pPr>
          </w:p>
        </w:tc>
      </w:tr>
      <w:tr w:rsidTr="00D971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rPr>
                <w:rStyle w:val="SpecialBold"/>
              </w:rPr>
              <w:t xml:space="preserve">Communication </w:t>
            </w:r>
          </w:p>
        </w:tc>
        <w:tc>
          <w:tcPr>
            <w:tcW w:w="0" w:type="auto"/>
            <w:tcBorders>
              <w:top w:val="nil"/>
              <w:left w:val="nil"/>
              <w:bottom w:val="nil"/>
              <w:right w:val="nil"/>
            </w:tcBorders>
            <w:tcMar>
              <w:top w:w="0" w:type="dxa"/>
              <w:left w:w="62" w:type="dxa"/>
              <w:bottom w:w="0" w:type="dxa"/>
              <w:right w:w="62" w:type="dxa"/>
            </w:tcMar>
          </w:tcPr>
          <w:p w:rsidR="00000000" w:rsidRPr="001D112E" w:rsidP="001D112E">
            <w:pPr>
              <w:pStyle w:val="BodyText"/>
            </w:pPr>
            <w:r w:rsidRPr="001D112E">
              <w:t>Communication includes one or more of:</w:t>
            </w:r>
          </w:p>
          <w:p w:rsidR="00000000" w:rsidRPr="001D112E" w:rsidP="001D112E">
            <w:pPr>
              <w:pStyle w:val="ListBullet"/>
            </w:pPr>
            <w:r w:rsidRPr="001D112E">
              <w:t>liaising with supervisors, managers and quality managers, laboratory and production staff, customers and suppliers</w:t>
            </w:r>
          </w:p>
          <w:p w:rsidR="00000000" w:rsidRPr="001D112E" w:rsidP="001D112E">
            <w:pPr>
              <w:pStyle w:val="ListBullet"/>
            </w:pPr>
            <w:r w:rsidRPr="001D112E">
              <w:t>providing information, coaching and/or training about quality systems and pla</w:t>
            </w:r>
            <w:r w:rsidRPr="001D112E">
              <w:t>ns, standards, codes and work practices</w:t>
            </w:r>
          </w:p>
          <w:p w:rsidR="00000000" w:rsidRPr="001D112E" w:rsidP="001D112E">
            <w:pPr>
              <w:pStyle w:val="ListBullet"/>
            </w:pPr>
            <w:r w:rsidRPr="001D112E">
              <w:t>recording information and preparing reports</w:t>
            </w:r>
          </w:p>
          <w:p w:rsidR="00000000" w:rsidRPr="001D112E" w:rsidP="001D112E">
            <w:pPr>
              <w:pStyle w:val="ListBullet"/>
            </w:pPr>
            <w:r w:rsidRPr="001D112E">
              <w:t>liaising with auditors and reporting to regulating authorities</w:t>
            </w:r>
          </w:p>
          <w:p w:rsidR="00000000" w:rsidP="001D112E">
            <w:pPr>
              <w:pStyle w:val="BodyText"/>
              <w:rPr>
                <w:lang w:val="en-NZ"/>
              </w:rPr>
            </w:pPr>
          </w:p>
        </w:tc>
      </w:tr>
      <w:tr w:rsidTr="00D971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112E">
            <w:pPr>
              <w:pStyle w:val="BodyText"/>
              <w:rPr>
                <w:lang w:val="en-NZ"/>
              </w:rPr>
            </w:pPr>
            <w:r w:rsidRPr="001D112E">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1D112E" w:rsidP="001D112E">
            <w:pPr>
              <w:pStyle w:val="BodyText"/>
            </w:pPr>
            <w:r w:rsidRPr="001D112E">
              <w:t>WHS and environmental management requirements include:</w:t>
            </w:r>
          </w:p>
          <w:p w:rsidR="00000000" w:rsidRPr="001D112E" w:rsidP="001D112E">
            <w:pPr>
              <w:pStyle w:val="BodyText"/>
            </w:pPr>
            <w:r w:rsidRPr="001D112E">
              <w:rPr>
                <w:rStyle w:val="Symbols"/>
              </w:rPr>
              <w:t></w:t>
            </w:r>
            <w:r w:rsidRPr="001D112E">
              <w:rPr>
                <w:rStyle w:val="Symbols"/>
              </w:rPr>
              <w:tab/>
            </w:r>
            <w:r w:rsidRPr="001D112E">
              <w:t>complying with WHS and environmental management requirements at all times, which may be imposed through state/territory or federal legislation. These requirements must not be compromised at any time</w:t>
            </w:r>
          </w:p>
          <w:p w:rsidR="00000000" w:rsidRPr="001D112E" w:rsidP="001D112E">
            <w:pPr>
              <w:pStyle w:val="BodyText"/>
            </w:pPr>
            <w:r w:rsidRPr="001D112E">
              <w:rPr>
                <w:rStyle w:val="Symbols"/>
              </w:rPr>
              <w:t></w:t>
            </w:r>
            <w:r w:rsidRPr="001D112E">
              <w:rPr>
                <w:rStyle w:val="Symbols"/>
              </w:rPr>
              <w:tab/>
            </w:r>
            <w:r w:rsidRPr="001D112E">
              <w:t>applying standard precautions relating to the potential</w:t>
            </w:r>
            <w:r w:rsidRPr="001D112E">
              <w:t>ly hazardous nature of samples</w:t>
            </w:r>
          </w:p>
          <w:p w:rsidR="00000000" w:rsidRPr="001D112E" w:rsidP="001D112E">
            <w:pPr>
              <w:pStyle w:val="ListBullet"/>
            </w:pPr>
            <w:r w:rsidRPr="001D112E">
              <w:t>accessing and applying current industry understanding of infection control issued by the National Health and Medical Research Council (NHMRC) and State and Territory Departments of Health, where relevant</w:t>
            </w:r>
          </w:p>
        </w:tc>
      </w:tr>
    </w:tbl>
    <w:p w:rsidR="00000000" w:rsidRPr="001D112E" w:rsidP="001D112E">
      <w:pPr>
        <w:pStyle w:val="BodyText"/>
      </w:pPr>
    </w:p>
    <w:p w:rsidR="00000000" w:rsidRPr="001D112E" w:rsidP="001D112E">
      <w:pPr>
        <w:pStyle w:val="AllowPageBreak"/>
      </w:pPr>
    </w:p>
    <w:p w:rsidR="00000000" w:rsidRPr="001D112E" w:rsidP="001D112E">
      <w:pPr>
        <w:pStyle w:val="Heading1"/>
      </w:pPr>
      <w:bookmarkStart w:id="9" w:name="O_902371"/>
      <w:bookmarkEnd w:id="9"/>
      <w:r w:rsidRPr="001D112E">
        <w:t>U</w:t>
      </w:r>
      <w:r w:rsidRPr="001D112E">
        <w:t>nit Mapping Information</w:t>
      </w:r>
    </w:p>
    <w:p w:rsidR="00000000" w:rsidRPr="001D112E" w:rsidP="001D112E">
      <w:pPr>
        <w:pStyle w:val="BodyText"/>
      </w:pPr>
      <w:r w:rsidRPr="001D112E">
        <w:t xml:space="preserve">Release 1. Supersedes and is equivalent to MSL936001A Maintain quality system and continuous improvement processes within work/functional area  </w:t>
      </w:r>
    </w:p>
    <w:p w:rsidR="00000000" w:rsidRPr="001D112E" w:rsidP="001D112E">
      <w:pPr>
        <w:pStyle w:val="AllowPageBreak"/>
      </w:pPr>
    </w:p>
    <w:p w:rsidR="00000000" w:rsidRPr="001D112E" w:rsidP="001D112E">
      <w:pPr>
        <w:pStyle w:val="Heading1"/>
      </w:pPr>
      <w:bookmarkStart w:id="10" w:name="O_902364"/>
      <w:bookmarkEnd w:id="10"/>
      <w:r w:rsidRPr="001D112E">
        <w:t>Links</w:t>
      </w:r>
    </w:p>
    <w:p w:rsidR="00000000" w:rsidRPr="001D112E" w:rsidP="001D112E">
      <w:pPr>
        <w:pStyle w:val="BodyText"/>
      </w:pPr>
      <w:r w:rsidRPr="001D112E">
        <w:t>Companion Volume implementation guides are found in VETNet - htt</w:t>
      </w:r>
      <w:r w:rsidRPr="001D112E">
        <w:t>ps://vetnet.education.gov.au/Pages/TrainingDocs.aspx?q=5c63a03b-4a6b-4ae5-9560-1e3c5f462baa</w:t>
      </w:r>
    </w:p>
    <w:p w:rsidR="00000000" w:rsidRPr="001D112E" w:rsidP="001D112E"/>
    <w:sectPr w:rsidSect="001D11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1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12E" w:rsidRPr="00D97144" w:rsidP="00D971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1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144" w:rsidP="001D11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97144" w:rsidP="001D112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97144" w:rsidP="001D11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1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1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112E" w:rsidRPr="00D97144" w:rsidP="00D971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1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144" w:rsidRPr="002D2AF8" w:rsidP="001D112E">
    <w:pPr>
      <w:pStyle w:val="Header"/>
      <w:framePr w:wrap="around"/>
    </w:pPr>
    <w:r>
      <w:fldChar w:fldCharType="begin"/>
    </w:r>
    <w:r>
      <w:instrText xml:space="preserve"> TITLE   \* MERGEFORMAT </w:instrText>
    </w:r>
    <w:r>
      <w:fldChar w:fldCharType="separate"/>
    </w:r>
    <w:r>
      <w:t>MSL936001 Maintain quality system and continuous improvement processes within work or functional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D97144" w:rsidP="001D11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66D6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56AE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5A3A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1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112E"/>
    <w:pPr>
      <w:spacing w:before="360" w:after="60"/>
      <w:outlineLvl w:val="0"/>
    </w:pPr>
    <w:rPr>
      <w:sz w:val="32"/>
    </w:rPr>
  </w:style>
  <w:style w:type="paragraph" w:styleId="Heading2">
    <w:name w:val="heading 2"/>
    <w:basedOn w:val="HeadingBase"/>
    <w:next w:val="BodyText"/>
    <w:link w:val="Heading2Char"/>
    <w:qFormat/>
    <w:rsid w:val="001D112E"/>
    <w:pPr>
      <w:keepLines/>
      <w:spacing w:before="240" w:after="120"/>
      <w:outlineLvl w:val="1"/>
    </w:pPr>
    <w:rPr>
      <w:sz w:val="28"/>
      <w:szCs w:val="40"/>
    </w:rPr>
  </w:style>
  <w:style w:type="paragraph" w:styleId="Heading3">
    <w:name w:val="heading 3"/>
    <w:basedOn w:val="HeadingBase"/>
    <w:next w:val="BodyText"/>
    <w:link w:val="Heading3Char"/>
    <w:qFormat/>
    <w:rsid w:val="001D112E"/>
    <w:pPr>
      <w:spacing w:before="180" w:after="120"/>
      <w:outlineLvl w:val="2"/>
    </w:pPr>
    <w:rPr>
      <w:spacing w:val="-10"/>
      <w:kern w:val="32"/>
    </w:rPr>
  </w:style>
  <w:style w:type="paragraph" w:styleId="Heading4">
    <w:name w:val="heading 4"/>
    <w:basedOn w:val="HeadingBase"/>
    <w:next w:val="BodyText"/>
    <w:link w:val="Heading4Char"/>
    <w:qFormat/>
    <w:rsid w:val="001D112E"/>
    <w:pPr>
      <w:spacing w:before="160" w:after="120"/>
      <w:outlineLvl w:val="3"/>
    </w:pPr>
    <w:rPr>
      <w:sz w:val="22"/>
    </w:rPr>
  </w:style>
  <w:style w:type="paragraph" w:styleId="Heading5">
    <w:name w:val="heading 5"/>
    <w:basedOn w:val="HeadingBase"/>
    <w:next w:val="Normal"/>
    <w:link w:val="Heading5Char"/>
    <w:qFormat/>
    <w:rsid w:val="001D112E"/>
    <w:pPr>
      <w:spacing w:before="80"/>
      <w:outlineLvl w:val="4"/>
    </w:pPr>
    <w:rPr>
      <w:color w:val="918585"/>
      <w:sz w:val="20"/>
    </w:rPr>
  </w:style>
  <w:style w:type="paragraph" w:styleId="Heading6">
    <w:name w:val="heading 6"/>
    <w:basedOn w:val="HeadingBase"/>
    <w:next w:val="Normal"/>
    <w:link w:val="Heading6Char"/>
    <w:qFormat/>
    <w:rsid w:val="001D112E"/>
    <w:pPr>
      <w:spacing w:before="60"/>
      <w:outlineLvl w:val="5"/>
    </w:pPr>
    <w:rPr>
      <w:color w:val="918585"/>
      <w:sz w:val="20"/>
    </w:rPr>
  </w:style>
  <w:style w:type="paragraph" w:styleId="Heading7">
    <w:name w:val="heading 7"/>
    <w:basedOn w:val="Normal"/>
    <w:next w:val="Normal"/>
    <w:link w:val="Heading7Char"/>
    <w:qFormat/>
    <w:rsid w:val="001D112E"/>
    <w:pPr>
      <w:ind w:left="720"/>
      <w:outlineLvl w:val="6"/>
    </w:pPr>
    <w:rPr>
      <w:i/>
    </w:rPr>
  </w:style>
  <w:style w:type="paragraph" w:styleId="Heading8">
    <w:name w:val="heading 8"/>
    <w:basedOn w:val="Normal"/>
    <w:next w:val="Normal"/>
    <w:link w:val="Heading8Char"/>
    <w:qFormat/>
    <w:rsid w:val="001D112E"/>
    <w:pPr>
      <w:ind w:left="720"/>
      <w:outlineLvl w:val="7"/>
    </w:pPr>
    <w:rPr>
      <w:i/>
    </w:rPr>
  </w:style>
  <w:style w:type="paragraph" w:styleId="Heading9">
    <w:name w:val="heading 9"/>
    <w:basedOn w:val="Normal"/>
    <w:next w:val="Normal"/>
    <w:link w:val="Heading9Char"/>
    <w:qFormat/>
    <w:rsid w:val="001D112E"/>
    <w:pPr>
      <w:ind w:left="720"/>
      <w:outlineLvl w:val="8"/>
    </w:pPr>
    <w:rPr>
      <w:i/>
    </w:rPr>
  </w:style>
  <w:style w:type="character" w:default="1" w:styleId="DefaultParagraphFont">
    <w:name w:val="Default Paragraph Font"/>
    <w:uiPriority w:val="1"/>
    <w:unhideWhenUsed/>
    <w:rsid w:val="001D11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112E"/>
  </w:style>
  <w:style w:type="character" w:customStyle="1" w:styleId="Heading1Char">
    <w:name w:val="Heading 1 Char"/>
    <w:basedOn w:val="DefaultParagraphFont"/>
    <w:link w:val="Heading1"/>
    <w:rsid w:val="001D112E"/>
    <w:rPr>
      <w:rFonts w:ascii="Times New Roman" w:eastAsia="Times New Roman" w:hAnsi="Times New Roman" w:cs="Times New Roman"/>
      <w:b/>
      <w:sz w:val="32"/>
      <w:szCs w:val="20"/>
      <w:lang w:eastAsia="en-US"/>
    </w:rPr>
  </w:style>
  <w:style w:type="paragraph" w:styleId="BodyText">
    <w:name w:val="Body Text"/>
    <w:basedOn w:val="Normal"/>
    <w:link w:val="BodyTextChar"/>
    <w:rsid w:val="001D11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112E"/>
    <w:rPr>
      <w:rFonts w:ascii="Times New Roman" w:eastAsia="Times New Roman" w:hAnsi="Times New Roman" w:cs="Times New Roman"/>
      <w:sz w:val="24"/>
      <w:lang w:eastAsia="en-US"/>
    </w:rPr>
  </w:style>
  <w:style w:type="paragraph" w:styleId="ListBullet">
    <w:name w:val="List Bullet"/>
    <w:basedOn w:val="List"/>
    <w:rsid w:val="001D112E"/>
    <w:pPr>
      <w:numPr>
        <w:numId w:val="13"/>
      </w:numPr>
      <w:tabs>
        <w:tab w:val="clear" w:pos="340"/>
      </w:tabs>
      <w:spacing w:before="40" w:after="40"/>
    </w:pPr>
  </w:style>
  <w:style w:type="character" w:customStyle="1" w:styleId="SpecialBold">
    <w:name w:val="Special Bold"/>
    <w:basedOn w:val="DefaultParagraphFont"/>
    <w:rsid w:val="001D112E"/>
    <w:rPr>
      <w:b/>
      <w:spacing w:val="0"/>
    </w:rPr>
  </w:style>
  <w:style w:type="paragraph" w:styleId="ListBullet2">
    <w:name w:val="List Bullet 2"/>
    <w:basedOn w:val="List2"/>
    <w:rsid w:val="001D112E"/>
    <w:pPr>
      <w:numPr>
        <w:numId w:val="14"/>
      </w:numPr>
      <w:tabs>
        <w:tab w:val="clear" w:pos="680"/>
      </w:tabs>
    </w:pPr>
  </w:style>
  <w:style w:type="paragraph" w:customStyle="1" w:styleId="SuperHeading">
    <w:name w:val="SuperHeading"/>
    <w:basedOn w:val="Normal"/>
    <w:rsid w:val="001D112E"/>
    <w:pPr>
      <w:spacing w:before="240" w:after="120"/>
      <w:outlineLvl w:val="0"/>
    </w:pPr>
    <w:rPr>
      <w:rFonts w:ascii="Times New Roman" w:hAnsi="Times New Roman"/>
      <w:b/>
      <w:sz w:val="32"/>
    </w:rPr>
  </w:style>
  <w:style w:type="paragraph" w:customStyle="1" w:styleId="AllowPageBreak">
    <w:name w:val="AllowPageBreak"/>
    <w:rsid w:val="001D11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1D112E"/>
    <w:rPr>
      <w:rFonts w:ascii="Symbol" w:hAnsi="Symbol"/>
    </w:rPr>
  </w:style>
  <w:style w:type="character" w:customStyle="1" w:styleId="Heading2Char">
    <w:name w:val="Heading 2 Char"/>
    <w:basedOn w:val="DefaultParagraphFont"/>
    <w:link w:val="Heading2"/>
    <w:rsid w:val="001D11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11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11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11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11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11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11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112E"/>
    <w:rPr>
      <w:rFonts w:ascii="Courier New" w:eastAsia="Times New Roman" w:hAnsi="Courier New" w:cs="Times New Roman"/>
      <w:i/>
      <w:szCs w:val="20"/>
      <w:lang w:eastAsia="en-US"/>
    </w:rPr>
  </w:style>
  <w:style w:type="paragraph" w:customStyle="1" w:styleId="HeadingBase">
    <w:name w:val="Heading Base"/>
    <w:rsid w:val="001D11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112E"/>
    <w:pPr>
      <w:tabs>
        <w:tab w:val="right" w:leader="dot" w:pos="9072"/>
      </w:tabs>
      <w:ind w:left="567"/>
    </w:pPr>
    <w:rPr>
      <w:szCs w:val="22"/>
    </w:rPr>
  </w:style>
  <w:style w:type="paragraph" w:customStyle="1" w:styleId="TOCBase">
    <w:name w:val="TOC Base"/>
    <w:rsid w:val="001D11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112E"/>
    <w:pPr>
      <w:tabs>
        <w:tab w:val="right" w:leader="dot" w:pos="9072"/>
      </w:tabs>
      <w:spacing w:before="40" w:after="40"/>
      <w:ind w:left="284"/>
    </w:pPr>
    <w:rPr>
      <w:rFonts w:ascii="Times New Roman" w:hAnsi="Times New Roman"/>
    </w:rPr>
  </w:style>
  <w:style w:type="paragraph" w:styleId="TOC1">
    <w:name w:val="toc 1"/>
    <w:basedOn w:val="TOCBase"/>
    <w:next w:val="Normal"/>
    <w:rsid w:val="001D11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11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112E"/>
    <w:rPr>
      <w:rFonts w:ascii="Times New Roman" w:eastAsia="Times New Roman" w:hAnsi="Times New Roman" w:cs="Times New Roman"/>
      <w:sz w:val="16"/>
      <w:lang w:eastAsia="en-US"/>
    </w:rPr>
  </w:style>
  <w:style w:type="paragraph" w:styleId="Title">
    <w:name w:val="Title"/>
    <w:basedOn w:val="HeadingBase"/>
    <w:link w:val="TitleChar"/>
    <w:qFormat/>
    <w:rsid w:val="001D112E"/>
    <w:pPr>
      <w:spacing w:before="5040"/>
      <w:jc w:val="center"/>
    </w:pPr>
    <w:rPr>
      <w:sz w:val="48"/>
      <w:szCs w:val="72"/>
      <w:lang w:val="en-US"/>
    </w:rPr>
  </w:style>
  <w:style w:type="character" w:customStyle="1" w:styleId="TitleChar">
    <w:name w:val="Title Char"/>
    <w:basedOn w:val="DefaultParagraphFont"/>
    <w:link w:val="Title"/>
    <w:rsid w:val="001D11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112E"/>
    <w:pPr>
      <w:tabs>
        <w:tab w:val="left" w:pos="3600"/>
        <w:tab w:val="left" w:pos="3958"/>
      </w:tabs>
    </w:pPr>
  </w:style>
  <w:style w:type="paragraph" w:styleId="List">
    <w:name w:val="List"/>
    <w:basedOn w:val="BodyText"/>
    <w:next w:val="BodyText"/>
    <w:rsid w:val="001D112E"/>
    <w:pPr>
      <w:tabs>
        <w:tab w:val="left" w:pos="340"/>
      </w:tabs>
      <w:spacing w:before="60" w:after="60"/>
      <w:ind w:left="340" w:hanging="340"/>
    </w:pPr>
  </w:style>
  <w:style w:type="paragraph" w:customStyle="1" w:styleId="Note">
    <w:name w:val="Note"/>
    <w:basedOn w:val="BodyText"/>
    <w:rsid w:val="001D11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112E"/>
    <w:pPr>
      <w:framePr w:wrap="auto" w:hAnchor="text" w:y="6049"/>
    </w:pPr>
    <w:rPr>
      <w:color w:val="000000"/>
      <w:sz w:val="40"/>
    </w:rPr>
  </w:style>
  <w:style w:type="paragraph" w:customStyle="1" w:styleId="TOCTitle">
    <w:name w:val="TOCTitle"/>
    <w:basedOn w:val="Heading1"/>
    <w:rsid w:val="001D112E"/>
    <w:pPr>
      <w:spacing w:after="240"/>
      <w:jc w:val="center"/>
      <w:outlineLvl w:val="9"/>
    </w:pPr>
    <w:rPr>
      <w:caps/>
    </w:rPr>
  </w:style>
  <w:style w:type="paragraph" w:customStyle="1" w:styleId="Version">
    <w:name w:val="Version"/>
    <w:rsid w:val="001D11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112E"/>
    <w:pPr>
      <w:keepNext w:val="0"/>
      <w:tabs>
        <w:tab w:val="right" w:pos="4176"/>
      </w:tabs>
      <w:ind w:left="198" w:hanging="198"/>
    </w:pPr>
    <w:rPr>
      <w:rFonts w:ascii="Garamond" w:hAnsi="Garamond"/>
    </w:rPr>
  </w:style>
  <w:style w:type="paragraph" w:styleId="IndexHeading">
    <w:name w:val="index heading"/>
    <w:basedOn w:val="Normal"/>
    <w:next w:val="Index1"/>
    <w:semiHidden/>
    <w:rsid w:val="001D112E"/>
    <w:pPr>
      <w:spacing w:before="120" w:after="120"/>
    </w:pPr>
    <w:rPr>
      <w:rFonts w:ascii="Arial" w:hAnsi="Arial"/>
      <w:b/>
      <w:color w:val="918585"/>
      <w:sz w:val="24"/>
    </w:rPr>
  </w:style>
  <w:style w:type="paragraph" w:styleId="Header">
    <w:name w:val="header"/>
    <w:basedOn w:val="Normal"/>
    <w:link w:val="HeaderChar"/>
    <w:rsid w:val="001D11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112E"/>
    <w:rPr>
      <w:rFonts w:ascii="Times New Roman" w:eastAsia="Times New Roman" w:hAnsi="Times New Roman" w:cs="Times New Roman"/>
      <w:sz w:val="16"/>
      <w:szCs w:val="20"/>
      <w:lang w:val="en-GB" w:eastAsia="en-US"/>
    </w:rPr>
  </w:style>
  <w:style w:type="paragraph" w:customStyle="1" w:styleId="Chapter">
    <w:name w:val="Chapter"/>
    <w:basedOn w:val="Normal"/>
    <w:rsid w:val="001D112E"/>
    <w:pPr>
      <w:spacing w:before="240"/>
    </w:pPr>
    <w:rPr>
      <w:rFonts w:ascii="Times New Roman" w:hAnsi="Times New Roman"/>
      <w:smallCaps/>
      <w:spacing w:val="80"/>
      <w:sz w:val="28"/>
    </w:rPr>
  </w:style>
  <w:style w:type="paragraph" w:customStyle="1" w:styleId="InChapter">
    <w:name w:val="InChapter"/>
    <w:basedOn w:val="Heading3"/>
    <w:rsid w:val="001D112E"/>
    <w:pPr>
      <w:spacing w:after="240"/>
      <w:outlineLvl w:val="9"/>
    </w:pPr>
    <w:rPr>
      <w:noProof/>
    </w:rPr>
  </w:style>
  <w:style w:type="paragraph" w:styleId="Index2">
    <w:name w:val="index 2"/>
    <w:basedOn w:val="Normal"/>
    <w:next w:val="Normal"/>
    <w:semiHidden/>
    <w:rsid w:val="001D112E"/>
    <w:pPr>
      <w:tabs>
        <w:tab w:val="right" w:pos="4176"/>
      </w:tabs>
      <w:ind w:left="568" w:hanging="284"/>
    </w:pPr>
    <w:rPr>
      <w:rFonts w:ascii="Garamond" w:hAnsi="Garamond"/>
    </w:rPr>
  </w:style>
  <w:style w:type="paragraph" w:customStyle="1" w:styleId="Byline">
    <w:name w:val="Byline"/>
    <w:rsid w:val="001D11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112E"/>
    <w:pPr>
      <w:tabs>
        <w:tab w:val="clear" w:pos="3600"/>
        <w:tab w:val="clear" w:pos="3958"/>
      </w:tabs>
      <w:jc w:val="right"/>
    </w:pPr>
  </w:style>
  <w:style w:type="character" w:styleId="Emphasis">
    <w:name w:val="Emphasis"/>
    <w:basedOn w:val="DefaultParagraphFont"/>
    <w:qFormat/>
    <w:rsid w:val="001D112E"/>
    <w:rPr>
      <w:i/>
    </w:rPr>
  </w:style>
  <w:style w:type="paragraph" w:styleId="Caption">
    <w:name w:val="caption"/>
    <w:basedOn w:val="BodyText"/>
    <w:next w:val="Normal"/>
    <w:qFormat/>
    <w:rsid w:val="001D112E"/>
    <w:pPr>
      <w:framePr w:w="2268" w:hSpace="181" w:vSpace="181" w:wrap="around" w:vAnchor="text" w:hAnchor="page" w:x="1135" w:y="285" w:anchorLock="1"/>
    </w:pPr>
    <w:rPr>
      <w:i/>
    </w:rPr>
  </w:style>
  <w:style w:type="paragraph" w:customStyle="1" w:styleId="MiniTOCTitle">
    <w:name w:val="MiniTOCTitle"/>
    <w:basedOn w:val="Heading4"/>
    <w:rsid w:val="001D112E"/>
    <w:pPr>
      <w:spacing w:before="240"/>
      <w:outlineLvl w:val="9"/>
    </w:pPr>
    <w:rPr>
      <w:noProof/>
      <w:sz w:val="24"/>
    </w:rPr>
  </w:style>
  <w:style w:type="paragraph" w:customStyle="1" w:styleId="MiniTOCItem">
    <w:name w:val="MiniTOCItem"/>
    <w:basedOn w:val="ListBullet"/>
    <w:rsid w:val="001D112E"/>
    <w:pPr>
      <w:numPr>
        <w:numId w:val="0"/>
      </w:numPr>
      <w:tabs>
        <w:tab w:val="right" w:leader="dot" w:pos="6521"/>
      </w:tabs>
      <w:spacing w:before="0" w:after="0"/>
    </w:pPr>
  </w:style>
  <w:style w:type="paragraph" w:customStyle="1" w:styleId="TOFTitle">
    <w:name w:val="TOFTitle"/>
    <w:basedOn w:val="TOCTitle"/>
    <w:rsid w:val="001D112E"/>
  </w:style>
  <w:style w:type="paragraph" w:styleId="TableofFigures">
    <w:name w:val="table of figures"/>
    <w:basedOn w:val="Normal"/>
    <w:next w:val="Normal"/>
    <w:semiHidden/>
    <w:rsid w:val="001D112E"/>
    <w:pPr>
      <w:tabs>
        <w:tab w:val="right" w:leader="dot" w:pos="9072"/>
      </w:tabs>
      <w:ind w:left="970" w:hanging="403"/>
    </w:pPr>
    <w:rPr>
      <w:rFonts w:ascii="Times New Roman" w:hAnsi="Times New Roman"/>
      <w:b/>
    </w:rPr>
  </w:style>
  <w:style w:type="paragraph" w:styleId="ListNumber">
    <w:name w:val="List Number"/>
    <w:basedOn w:val="List"/>
    <w:rsid w:val="001D112E"/>
    <w:pPr>
      <w:numPr>
        <w:numId w:val="11"/>
      </w:numPr>
    </w:pPr>
  </w:style>
  <w:style w:type="character" w:customStyle="1" w:styleId="WingdingSymbols">
    <w:name w:val="Wingding Symbols"/>
    <w:rsid w:val="001D112E"/>
    <w:rPr>
      <w:rFonts w:ascii="Wingdings" w:hAnsi="Wingdings"/>
    </w:rPr>
  </w:style>
  <w:style w:type="paragraph" w:customStyle="1" w:styleId="TableHeading">
    <w:name w:val="Table Heading"/>
    <w:basedOn w:val="HeadingBase"/>
    <w:rsid w:val="001D112E"/>
    <w:pPr>
      <w:keepLines/>
      <w:pBdr>
        <w:bottom w:val="single" w:sz="6" w:space="1" w:color="918585"/>
      </w:pBdr>
      <w:spacing w:before="240"/>
    </w:pPr>
  </w:style>
  <w:style w:type="character" w:customStyle="1" w:styleId="HotSpot">
    <w:name w:val="HotSpot"/>
    <w:rsid w:val="001D112E"/>
    <w:rPr>
      <w:color w:val="0033CC"/>
      <w:u w:val="none"/>
    </w:rPr>
  </w:style>
  <w:style w:type="paragraph" w:customStyle="1" w:styleId="BodyTextRight">
    <w:name w:val="Body Text Right"/>
    <w:basedOn w:val="BodyText"/>
    <w:rsid w:val="001D112E"/>
    <w:pPr>
      <w:spacing w:before="0" w:after="0"/>
      <w:jc w:val="right"/>
    </w:pPr>
  </w:style>
  <w:style w:type="paragraph" w:styleId="Index3">
    <w:name w:val="index 3"/>
    <w:basedOn w:val="ListNumber2"/>
    <w:next w:val="Normal"/>
    <w:semiHidden/>
    <w:rsid w:val="001D112E"/>
    <w:pPr>
      <w:numPr>
        <w:numId w:val="0"/>
      </w:numPr>
      <w:tabs>
        <w:tab w:val="right" w:leader="dot" w:pos="4176"/>
      </w:tabs>
    </w:pPr>
  </w:style>
  <w:style w:type="paragraph" w:styleId="ListNumber2">
    <w:name w:val="List Number 2"/>
    <w:basedOn w:val="List2"/>
    <w:rsid w:val="001D112E"/>
    <w:pPr>
      <w:numPr>
        <w:numId w:val="10"/>
      </w:numPr>
      <w:tabs>
        <w:tab w:val="clear" w:pos="1060"/>
      </w:tabs>
    </w:pPr>
  </w:style>
  <w:style w:type="paragraph" w:customStyle="1" w:styleId="MarginNote">
    <w:name w:val="Margin Note"/>
    <w:basedOn w:val="BodyText"/>
    <w:rsid w:val="001D11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11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11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112E"/>
    <w:rPr>
      <w:sz w:val="32"/>
    </w:rPr>
  </w:style>
  <w:style w:type="paragraph" w:customStyle="1" w:styleId="HeadingProcedure">
    <w:name w:val="Heading Procedure"/>
    <w:basedOn w:val="HeadingBase"/>
    <w:next w:val="Normal"/>
    <w:rsid w:val="001D112E"/>
    <w:pPr>
      <w:tabs>
        <w:tab w:val="left" w:pos="0"/>
      </w:tabs>
      <w:spacing w:before="120" w:after="60"/>
    </w:pPr>
    <w:rPr>
      <w:i/>
      <w:color w:val="918585"/>
      <w:sz w:val="22"/>
    </w:rPr>
  </w:style>
  <w:style w:type="paragraph" w:customStyle="1" w:styleId="TableBodyText">
    <w:name w:val="Table Body Text"/>
    <w:basedOn w:val="BodyText"/>
    <w:rsid w:val="001D112E"/>
    <w:pPr>
      <w:spacing w:before="60" w:after="60"/>
    </w:pPr>
  </w:style>
  <w:style w:type="paragraph" w:styleId="ListContinue">
    <w:name w:val="List Continue"/>
    <w:basedOn w:val="List"/>
    <w:rsid w:val="001D112E"/>
    <w:pPr>
      <w:ind w:firstLine="0"/>
    </w:pPr>
  </w:style>
  <w:style w:type="paragraph" w:customStyle="1" w:styleId="ListNote">
    <w:name w:val="List Note"/>
    <w:basedOn w:val="List"/>
    <w:rsid w:val="001D112E"/>
    <w:pPr>
      <w:pBdr>
        <w:top w:val="single" w:sz="6" w:space="2" w:color="918585"/>
        <w:bottom w:val="single" w:sz="6" w:space="2" w:color="918585"/>
      </w:pBdr>
      <w:tabs>
        <w:tab w:val="left" w:pos="1021"/>
      </w:tabs>
      <w:ind w:firstLine="0"/>
    </w:pPr>
  </w:style>
  <w:style w:type="paragraph" w:customStyle="1" w:styleId="Warning">
    <w:name w:val="Warning"/>
    <w:basedOn w:val="BodyText"/>
    <w:rsid w:val="001D112E"/>
    <w:pPr>
      <w:shd w:val="clear" w:color="auto" w:fill="D9D9D9"/>
      <w:tabs>
        <w:tab w:val="left" w:pos="992"/>
      </w:tabs>
      <w:ind w:left="119" w:right="119"/>
    </w:pPr>
    <w:rPr>
      <w:sz w:val="20"/>
    </w:rPr>
  </w:style>
  <w:style w:type="paragraph" w:customStyle="1" w:styleId="MarginIcons">
    <w:name w:val="Margin Icons"/>
    <w:basedOn w:val="BodyText"/>
    <w:rsid w:val="001D11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112E"/>
    <w:rPr>
      <w:rFonts w:ascii="Courier New" w:hAnsi="Courier New"/>
    </w:rPr>
  </w:style>
  <w:style w:type="paragraph" w:customStyle="1" w:styleId="NoteBullet">
    <w:name w:val="Note Bullet"/>
    <w:basedOn w:val="Note"/>
    <w:rsid w:val="001D112E"/>
    <w:pPr>
      <w:tabs>
        <w:tab w:val="clear" w:pos="680"/>
      </w:tabs>
      <w:spacing w:before="60" w:after="60"/>
    </w:pPr>
  </w:style>
  <w:style w:type="paragraph" w:customStyle="1" w:styleId="SubHeading2">
    <w:name w:val="SubHeading2"/>
    <w:basedOn w:val="HeadingBase"/>
    <w:rsid w:val="001D112E"/>
    <w:pPr>
      <w:spacing w:before="240" w:after="60"/>
    </w:pPr>
    <w:rPr>
      <w:sz w:val="20"/>
    </w:rPr>
  </w:style>
  <w:style w:type="paragraph" w:customStyle="1" w:styleId="SubHeading1">
    <w:name w:val="SubHeading1"/>
    <w:basedOn w:val="HeadingBase"/>
    <w:rsid w:val="001D112E"/>
    <w:pPr>
      <w:spacing w:before="240" w:after="60"/>
    </w:pPr>
    <w:rPr>
      <w:color w:val="918585"/>
      <w:sz w:val="22"/>
    </w:rPr>
  </w:style>
  <w:style w:type="paragraph" w:customStyle="1" w:styleId="SideHeading">
    <w:name w:val="Side Heading"/>
    <w:basedOn w:val="HeadingBase"/>
    <w:rsid w:val="001D11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112E"/>
    <w:pPr>
      <w:numPr>
        <w:numId w:val="12"/>
      </w:numPr>
    </w:pPr>
  </w:style>
  <w:style w:type="paragraph" w:styleId="PlainText">
    <w:name w:val="Plain Text"/>
    <w:basedOn w:val="Normal"/>
    <w:link w:val="PlainTextChar"/>
    <w:rsid w:val="001D112E"/>
    <w:rPr>
      <w:sz w:val="20"/>
    </w:rPr>
  </w:style>
  <w:style w:type="character" w:customStyle="1" w:styleId="PlainTextChar">
    <w:name w:val="Plain Text Char"/>
    <w:basedOn w:val="DefaultParagraphFont"/>
    <w:link w:val="PlainText"/>
    <w:rsid w:val="001D112E"/>
    <w:rPr>
      <w:rFonts w:ascii="Courier New" w:eastAsia="Times New Roman" w:hAnsi="Courier New" w:cs="Times New Roman"/>
      <w:sz w:val="20"/>
      <w:szCs w:val="20"/>
      <w:lang w:eastAsia="en-US"/>
    </w:rPr>
  </w:style>
  <w:style w:type="character" w:customStyle="1" w:styleId="MenuOption">
    <w:name w:val="Menu Option"/>
    <w:basedOn w:val="DefaultParagraphFont"/>
    <w:rsid w:val="001D112E"/>
    <w:rPr>
      <w:b/>
      <w:smallCaps/>
    </w:rPr>
  </w:style>
  <w:style w:type="paragraph" w:customStyle="1" w:styleId="TableListNumber">
    <w:name w:val="Table List Number"/>
    <w:basedOn w:val="ListNumber"/>
    <w:rsid w:val="001D112E"/>
    <w:pPr>
      <w:numPr>
        <w:numId w:val="0"/>
      </w:numPr>
    </w:pPr>
  </w:style>
  <w:style w:type="paragraph" w:styleId="TOC4">
    <w:name w:val="toc 4"/>
    <w:basedOn w:val="TOCBase"/>
    <w:next w:val="Normal"/>
    <w:semiHidden/>
    <w:rsid w:val="001D112E"/>
    <w:pPr>
      <w:tabs>
        <w:tab w:val="right" w:leader="dot" w:pos="9071"/>
      </w:tabs>
      <w:ind w:left="1701"/>
    </w:pPr>
  </w:style>
  <w:style w:type="paragraph" w:customStyle="1" w:styleId="ListAlpha">
    <w:name w:val="List Alpha"/>
    <w:basedOn w:val="List"/>
    <w:rsid w:val="001D112E"/>
    <w:pPr>
      <w:numPr>
        <w:numId w:val="9"/>
      </w:numPr>
    </w:pPr>
  </w:style>
  <w:style w:type="paragraph" w:customStyle="1" w:styleId="ListAlpha2">
    <w:name w:val="List Alpha 2"/>
    <w:basedOn w:val="List2"/>
    <w:rsid w:val="001D112E"/>
    <w:pPr>
      <w:numPr>
        <w:numId w:val="8"/>
      </w:numPr>
    </w:pPr>
  </w:style>
  <w:style w:type="paragraph" w:styleId="List2">
    <w:name w:val="List 2"/>
    <w:basedOn w:val="BodyText"/>
    <w:rsid w:val="001D112E"/>
    <w:pPr>
      <w:tabs>
        <w:tab w:val="left" w:pos="680"/>
      </w:tabs>
      <w:spacing w:before="60" w:after="60"/>
      <w:ind w:left="680" w:hanging="340"/>
    </w:pPr>
  </w:style>
  <w:style w:type="paragraph" w:styleId="List3">
    <w:name w:val="List 3"/>
    <w:basedOn w:val="BodyText"/>
    <w:rsid w:val="001D112E"/>
    <w:pPr>
      <w:tabs>
        <w:tab w:val="left" w:pos="1021"/>
      </w:tabs>
      <w:spacing w:before="60" w:after="60"/>
      <w:ind w:left="1020" w:hanging="340"/>
    </w:pPr>
  </w:style>
  <w:style w:type="paragraph" w:styleId="List4">
    <w:name w:val="List 4"/>
    <w:basedOn w:val="BodyText"/>
    <w:rsid w:val="001D112E"/>
    <w:pPr>
      <w:tabs>
        <w:tab w:val="left" w:pos="1361"/>
      </w:tabs>
      <w:spacing w:before="60" w:after="60"/>
      <w:ind w:left="1361" w:hanging="340"/>
    </w:pPr>
  </w:style>
  <w:style w:type="paragraph" w:styleId="List5">
    <w:name w:val="List 5"/>
    <w:basedOn w:val="BodyText"/>
    <w:rsid w:val="001D112E"/>
    <w:pPr>
      <w:tabs>
        <w:tab w:val="left" w:pos="1701"/>
      </w:tabs>
      <w:spacing w:before="60" w:after="60"/>
      <w:ind w:left="1701" w:hanging="340"/>
    </w:pPr>
  </w:style>
  <w:style w:type="paragraph" w:styleId="ListBullet3">
    <w:name w:val="List Bullet 3"/>
    <w:basedOn w:val="List3"/>
    <w:rsid w:val="001D112E"/>
    <w:pPr>
      <w:numPr>
        <w:numId w:val="15"/>
      </w:numPr>
      <w:tabs>
        <w:tab w:val="clear" w:pos="1021"/>
      </w:tabs>
      <w:ind w:left="1037" w:hanging="357"/>
    </w:pPr>
  </w:style>
  <w:style w:type="paragraph" w:styleId="ListBullet4">
    <w:name w:val="List Bullet 4"/>
    <w:basedOn w:val="List4"/>
    <w:rsid w:val="001D112E"/>
    <w:pPr>
      <w:numPr>
        <w:numId w:val="3"/>
      </w:numPr>
      <w:tabs>
        <w:tab w:val="clear" w:pos="1361"/>
      </w:tabs>
    </w:pPr>
  </w:style>
  <w:style w:type="paragraph" w:styleId="ListBullet5">
    <w:name w:val="List Bullet 5"/>
    <w:basedOn w:val="List5"/>
    <w:rsid w:val="001D112E"/>
    <w:pPr>
      <w:numPr>
        <w:numId w:val="4"/>
      </w:numPr>
    </w:pPr>
  </w:style>
  <w:style w:type="paragraph" w:styleId="ListContinue2">
    <w:name w:val="List Continue 2"/>
    <w:basedOn w:val="List2"/>
    <w:rsid w:val="001D112E"/>
    <w:pPr>
      <w:ind w:firstLine="0"/>
    </w:pPr>
  </w:style>
  <w:style w:type="paragraph" w:styleId="ListContinue3">
    <w:name w:val="List Continue 3"/>
    <w:basedOn w:val="List3"/>
    <w:rsid w:val="001D112E"/>
    <w:pPr>
      <w:ind w:left="1021" w:firstLine="0"/>
    </w:pPr>
  </w:style>
  <w:style w:type="paragraph" w:styleId="ListContinue4">
    <w:name w:val="List Continue 4"/>
    <w:basedOn w:val="List4"/>
    <w:rsid w:val="001D112E"/>
    <w:pPr>
      <w:ind w:firstLine="0"/>
    </w:pPr>
  </w:style>
  <w:style w:type="paragraph" w:styleId="ListContinue5">
    <w:name w:val="List Continue 5"/>
    <w:basedOn w:val="List5"/>
    <w:rsid w:val="001D112E"/>
    <w:pPr>
      <w:ind w:firstLine="0"/>
    </w:pPr>
  </w:style>
  <w:style w:type="paragraph" w:styleId="ListNumber3">
    <w:name w:val="List Number 3"/>
    <w:basedOn w:val="List3"/>
    <w:rsid w:val="001D112E"/>
    <w:pPr>
      <w:numPr>
        <w:numId w:val="5"/>
      </w:numPr>
    </w:pPr>
  </w:style>
  <w:style w:type="paragraph" w:styleId="ListNumber4">
    <w:name w:val="List Number 4"/>
    <w:basedOn w:val="List4"/>
    <w:rsid w:val="001D112E"/>
    <w:pPr>
      <w:numPr>
        <w:numId w:val="6"/>
      </w:numPr>
    </w:pPr>
  </w:style>
  <w:style w:type="paragraph" w:styleId="ListNumber5">
    <w:name w:val="List Number 5"/>
    <w:basedOn w:val="List5"/>
    <w:rsid w:val="001D112E"/>
    <w:pPr>
      <w:numPr>
        <w:numId w:val="7"/>
      </w:numPr>
    </w:pPr>
  </w:style>
  <w:style w:type="paragraph" w:styleId="BlockText">
    <w:name w:val="Block Text"/>
    <w:basedOn w:val="Normal"/>
    <w:rsid w:val="001D112E"/>
    <w:pPr>
      <w:spacing w:after="120"/>
      <w:ind w:left="1440" w:right="1440"/>
    </w:pPr>
  </w:style>
  <w:style w:type="character" w:customStyle="1" w:styleId="Subscript">
    <w:name w:val="Subscript"/>
    <w:basedOn w:val="DefaultParagraphFont"/>
    <w:rsid w:val="001D112E"/>
    <w:rPr>
      <w:sz w:val="16"/>
      <w:vertAlign w:val="subscript"/>
    </w:rPr>
  </w:style>
  <w:style w:type="character" w:customStyle="1" w:styleId="Superscript">
    <w:name w:val="Superscript"/>
    <w:basedOn w:val="DefaultParagraphFont"/>
    <w:rsid w:val="001D112E"/>
    <w:rPr>
      <w:sz w:val="16"/>
      <w:vertAlign w:val="superscript"/>
    </w:rPr>
  </w:style>
  <w:style w:type="character" w:customStyle="1" w:styleId="MenuOptions">
    <w:name w:val="Menu Options"/>
    <w:basedOn w:val="DefaultParagraphFont"/>
    <w:rsid w:val="001D112E"/>
    <w:rPr>
      <w:rFonts w:ascii="Arial Narrow" w:hAnsi="Arial Narrow"/>
      <w:smallCaps/>
    </w:rPr>
  </w:style>
  <w:style w:type="character" w:customStyle="1" w:styleId="Buttons">
    <w:name w:val="Buttons"/>
    <w:basedOn w:val="DefaultParagraphFont"/>
    <w:rsid w:val="001D112E"/>
    <w:rPr>
      <w:b/>
    </w:rPr>
  </w:style>
  <w:style w:type="character" w:customStyle="1" w:styleId="Underlined">
    <w:name w:val="Underlined"/>
    <w:basedOn w:val="DefaultParagraphFont"/>
    <w:rsid w:val="001D112E"/>
    <w:rPr>
      <w:u w:val="single"/>
    </w:rPr>
  </w:style>
  <w:style w:type="paragraph" w:customStyle="1" w:styleId="TableBodyTextRight">
    <w:name w:val="Table Body Text Right"/>
    <w:basedOn w:val="TableBodyText"/>
    <w:rsid w:val="001D112E"/>
    <w:pPr>
      <w:widowControl w:val="0"/>
      <w:autoSpaceDE w:val="0"/>
      <w:autoSpaceDN w:val="0"/>
      <w:adjustRightInd w:val="0"/>
      <w:jc w:val="right"/>
    </w:pPr>
    <w:rPr>
      <w:rFonts w:cs="Arial"/>
      <w:szCs w:val="18"/>
    </w:rPr>
  </w:style>
  <w:style w:type="paragraph" w:customStyle="1" w:styleId="CopyrightText">
    <w:name w:val="Copyright Text"/>
    <w:basedOn w:val="BodyText"/>
    <w:rsid w:val="001D112E"/>
    <w:rPr>
      <w:sz w:val="18"/>
    </w:rPr>
  </w:style>
  <w:style w:type="paragraph" w:customStyle="1" w:styleId="BodySmallRight">
    <w:name w:val="Body Small Right"/>
    <w:basedOn w:val="BodyTextRight"/>
    <w:rsid w:val="001D112E"/>
    <w:rPr>
      <w:sz w:val="18"/>
      <w:szCs w:val="18"/>
    </w:rPr>
  </w:style>
  <w:style w:type="paragraph" w:customStyle="1" w:styleId="MarginEdition">
    <w:name w:val="Margin Edition"/>
    <w:basedOn w:val="MarginNote"/>
    <w:rsid w:val="001D112E"/>
    <w:pPr>
      <w:spacing w:before="0" w:after="0"/>
    </w:pPr>
    <w:rPr>
      <w:rFonts w:ascii="Times New Roman" w:hAnsi="Times New Roman"/>
      <w:color w:val="999999"/>
    </w:rPr>
  </w:style>
  <w:style w:type="paragraph" w:customStyle="1" w:styleId="Spacer">
    <w:name w:val="Spacer"/>
    <w:basedOn w:val="Normal"/>
    <w:rsid w:val="001D112E"/>
    <w:rPr>
      <w:sz w:val="2"/>
      <w:szCs w:val="2"/>
    </w:rPr>
  </w:style>
  <w:style w:type="character" w:customStyle="1" w:styleId="Small">
    <w:name w:val="Small"/>
    <w:basedOn w:val="DefaultParagraphFont"/>
    <w:rsid w:val="001D112E"/>
    <w:rPr>
      <w:sz w:val="16"/>
    </w:rPr>
  </w:style>
  <w:style w:type="paragraph" w:customStyle="1" w:styleId="WideTable">
    <w:name w:val="Wide Table"/>
    <w:basedOn w:val="Normal"/>
    <w:rsid w:val="001D112E"/>
    <w:pPr>
      <w:ind w:left="-1418"/>
    </w:pPr>
    <w:rPr>
      <w:sz w:val="2"/>
      <w:szCs w:val="2"/>
    </w:rPr>
  </w:style>
  <w:style w:type="character" w:styleId="PageNumber">
    <w:name w:val="page number"/>
    <w:basedOn w:val="DefaultParagraphFont"/>
    <w:rsid w:val="001D112E"/>
  </w:style>
  <w:style w:type="paragraph" w:styleId="Quote">
    <w:name w:val="Quote"/>
    <w:basedOn w:val="Heading1"/>
    <w:link w:val="QuoteChar"/>
    <w:qFormat/>
    <w:rsid w:val="001D112E"/>
    <w:rPr>
      <w:b w:val="0"/>
      <w:sz w:val="72"/>
      <w:szCs w:val="72"/>
      <w:lang w:val="en-NZ"/>
    </w:rPr>
  </w:style>
  <w:style w:type="character" w:customStyle="1" w:styleId="QuoteChar">
    <w:name w:val="Quote Char"/>
    <w:basedOn w:val="DefaultParagraphFont"/>
    <w:link w:val="Quote"/>
    <w:rsid w:val="001D11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112E"/>
    <w:pPr>
      <w:pageBreakBefore/>
    </w:pPr>
  </w:style>
  <w:style w:type="paragraph" w:customStyle="1" w:styleId="Border">
    <w:name w:val="Border"/>
    <w:basedOn w:val="Normal"/>
    <w:qFormat/>
    <w:rsid w:val="001D11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112E"/>
    <w:rPr>
      <w:b/>
      <w:bCs/>
      <w:i/>
      <w:iCs/>
      <w:color w:val="auto"/>
    </w:rPr>
  </w:style>
  <w:style w:type="paragraph" w:styleId="IntenseQuote">
    <w:name w:val="Intense Quote"/>
    <w:basedOn w:val="Normal"/>
    <w:next w:val="Normal"/>
    <w:link w:val="IntenseQuoteChar"/>
    <w:uiPriority w:val="30"/>
    <w:qFormat/>
    <w:rsid w:val="001D11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11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112E"/>
    <w:rPr>
      <w:smallCaps/>
      <w:color w:val="auto"/>
      <w:u w:val="single"/>
    </w:rPr>
  </w:style>
  <w:style w:type="character" w:styleId="IntenseReference">
    <w:name w:val="Intense Reference"/>
    <w:basedOn w:val="DefaultParagraphFont"/>
    <w:uiPriority w:val="32"/>
    <w:qFormat/>
    <w:rsid w:val="001D112E"/>
    <w:rPr>
      <w:b/>
      <w:bCs/>
      <w:smallCaps/>
      <w:color w:val="auto"/>
      <w:spacing w:val="5"/>
      <w:u w:val="single"/>
    </w:rPr>
  </w:style>
  <w:style w:type="paragraph" w:customStyle="1" w:styleId="2ColumnHeading">
    <w:name w:val="2Column Heading"/>
    <w:basedOn w:val="BodyText"/>
    <w:qFormat/>
    <w:rsid w:val="001D112E"/>
    <w:pPr>
      <w:spacing w:after="60"/>
      <w:ind w:left="-2268"/>
    </w:pPr>
    <w:rPr>
      <w:b/>
    </w:rPr>
  </w:style>
  <w:style w:type="paragraph" w:customStyle="1" w:styleId="Heading1TOC">
    <w:name w:val="Heading1 TOC"/>
    <w:basedOn w:val="Normal"/>
    <w:qFormat/>
    <w:rsid w:val="001D112E"/>
    <w:pPr>
      <w:spacing w:before="240" w:after="120"/>
    </w:pPr>
    <w:rPr>
      <w:rFonts w:ascii="Times New Roman" w:hAnsi="Times New Roman"/>
      <w:b/>
      <w:sz w:val="32"/>
    </w:rPr>
  </w:style>
  <w:style w:type="paragraph" w:customStyle="1" w:styleId="Heading2TOC">
    <w:name w:val="Heading2 TOC"/>
    <w:basedOn w:val="Normal"/>
    <w:qFormat/>
    <w:rsid w:val="001D112E"/>
    <w:pPr>
      <w:spacing w:before="240" w:after="60"/>
    </w:pPr>
    <w:rPr>
      <w:rFonts w:ascii="Times New Roman" w:hAnsi="Times New Roman"/>
      <w:b/>
      <w:sz w:val="28"/>
    </w:rPr>
  </w:style>
  <w:style w:type="character" w:customStyle="1" w:styleId="Underline">
    <w:name w:val="Underline"/>
    <w:basedOn w:val="DefaultParagraphFont"/>
    <w:qFormat/>
    <w:rsid w:val="001D112E"/>
    <w:rPr>
      <w:u w:val="single"/>
    </w:rPr>
  </w:style>
  <w:style w:type="character" w:customStyle="1" w:styleId="BoldandItalics">
    <w:name w:val="Bold and Italics"/>
    <w:qFormat/>
    <w:rsid w:val="001D112E"/>
    <w:rPr>
      <w:b/>
      <w:i/>
      <w:u w:val="none"/>
    </w:rPr>
  </w:style>
  <w:style w:type="paragraph" w:styleId="BalloonText">
    <w:name w:val="Balloon Text"/>
    <w:basedOn w:val="Normal"/>
    <w:link w:val="BalloonTextChar"/>
    <w:rsid w:val="001D112E"/>
    <w:rPr>
      <w:rFonts w:ascii="Tahoma" w:hAnsi="Tahoma" w:cs="Tahoma"/>
      <w:sz w:val="16"/>
      <w:szCs w:val="16"/>
    </w:rPr>
  </w:style>
  <w:style w:type="character" w:customStyle="1" w:styleId="BalloonTextChar">
    <w:name w:val="Balloon Text Char"/>
    <w:basedOn w:val="DefaultParagraphFont"/>
    <w:link w:val="BalloonText"/>
    <w:rsid w:val="001D11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11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11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112E"/>
    <w:rPr>
      <w:b/>
      <w:color w:val="660033"/>
      <w:spacing w:val="0"/>
    </w:rPr>
  </w:style>
  <w:style w:type="paragraph" w:customStyle="1" w:styleId="Nameditemlist">
    <w:name w:val="Named item list"/>
    <w:basedOn w:val="BodyText"/>
    <w:qFormat/>
    <w:rsid w:val="001D112E"/>
    <w:pPr>
      <w:tabs>
        <w:tab w:val="left" w:pos="2835"/>
      </w:tabs>
      <w:ind w:left="2835" w:hanging="2835"/>
    </w:pPr>
  </w:style>
  <w:style w:type="paragraph" w:customStyle="1" w:styleId="BodyTextnopadding">
    <w:name w:val="Body Text no padding"/>
    <w:basedOn w:val="BodyText"/>
    <w:qFormat/>
    <w:rsid w:val="001D112E"/>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953</Words>
  <Characters>6386</Characters>
  <Application>Microsoft Office Word</Application>
  <DocSecurity>0</DocSecurity>
  <Lines>238</Lines>
  <Paragraphs>106</Paragraphs>
  <ScaleCrop>false</ScaleCrop>
  <Company>Author-it Software Corporation Ltd.</Company>
  <LinksUpToDate>false</LinksUpToDate>
  <CharactersWithSpaces>7267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MSL936001 Maintain quality system and continuous improvement processes within work or functional area</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2018-10-22T11:52:00Z</dcterms:created>
  <dcterms:modified xsi:type="dcterms:W3CDTF">2018-10-22T11:52:00Z</dcterms:modified>
</cp:coreProperties>
</file>