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444" w:rsidP="00976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MSL935006 Assist in the maintenance of reference materials</w:t>
      </w:r>
      <w:r>
        <w:fldChar w:fldCharType="end"/>
      </w:r>
    </w:p>
    <w:p w:rsidR="00976444" w:rsidP="00976444">
      <w:pPr>
        <w:pStyle w:val="Version"/>
        <w:sectPr w:rsidSect="00AF1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AA0" w:rsidP="00AF1AA0">
      <w:pPr>
        <w:pStyle w:val="SuperHeading"/>
      </w:pPr>
      <w:r w:rsidRPr="00AF1AA0">
        <w:t>MSL935006 Assist in the maintenance of reference materials</w:t>
      </w:r>
    </w:p>
    <w:p w:rsidR="00000000" w:rsidRPr="00AF1AA0" w:rsidP="00AF1AA0">
      <w:pPr>
        <w:pStyle w:val="Heading1"/>
      </w:pPr>
      <w:bookmarkStart w:id="1" w:name="O_986059"/>
      <w:bookmarkEnd w:id="1"/>
      <w:r w:rsidRPr="00AF1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1AA0" w:rsidP="00AF1AA0">
            <w:pPr>
              <w:pStyle w:val="BodyText"/>
            </w:pPr>
            <w:r w:rsidRPr="00AF1AA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rPr>
                <w:rStyle w:val="SpecialBold"/>
              </w:rPr>
              <w:t>Comments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A0" w:rsidP="00AF1AA0">
            <w:pPr>
              <w:pStyle w:val="BodyText"/>
            </w:pPr>
            <w:r w:rsidRPr="00AF1AA0">
              <w:t xml:space="preserve">This version was released in </w:t>
            </w:r>
            <w:r w:rsidRPr="00AF1AA0">
              <w:rPr>
                <w:rStyle w:val="Emphasis"/>
              </w:rPr>
              <w:t>MSL Laboratory Operations Training Package Release 2.0.</w:t>
            </w:r>
          </w:p>
          <w:p w:rsidR="00000000" w:rsidRPr="00AF1AA0" w:rsidP="00AF1AA0">
            <w:pPr>
              <w:pStyle w:val="BodyText"/>
            </w:pPr>
            <w:r w:rsidRPr="00AF1AA0">
              <w:t xml:space="preserve">Supersedes and equivalent to MSL935002 Assist in the maintenance of reference materials. Foundation skill </w:t>
            </w:r>
            <w:r w:rsidRPr="00AF1AA0">
              <w:t>information added. Range of conditions removed. Assessment requirements amended.</w:t>
            </w:r>
          </w:p>
        </w:tc>
      </w:tr>
    </w:tbl>
    <w:p w:rsidR="00000000" w:rsidRPr="00AF1AA0" w:rsidP="00AF1AA0">
      <w:pPr>
        <w:pStyle w:val="BodyText"/>
      </w:pPr>
    </w:p>
    <w:p w:rsidR="00000000" w:rsidRPr="00AF1AA0" w:rsidP="00AF1AA0">
      <w:pPr>
        <w:pStyle w:val="AllowPageBreak"/>
      </w:pPr>
    </w:p>
    <w:p w:rsidR="00000000" w:rsidRPr="00AF1AA0" w:rsidP="00AF1AA0">
      <w:pPr>
        <w:pStyle w:val="Heading1"/>
      </w:pPr>
      <w:bookmarkStart w:id="2" w:name="O_986065"/>
      <w:bookmarkEnd w:id="2"/>
      <w:r w:rsidRPr="00AF1AA0">
        <w:t>Application</w:t>
      </w:r>
    </w:p>
    <w:p w:rsidR="00000000" w:rsidRPr="00AF1AA0" w:rsidP="00976444">
      <w:pPr>
        <w:pStyle w:val="BodyText"/>
      </w:pPr>
      <w:r w:rsidRPr="00AF1AA0">
        <w:t>This unit of competency describes the skills and knowledge to assist in the maintenance of reference materials that can be used in tests and the</w:t>
      </w:r>
      <w:r w:rsidRPr="00AF1AA0">
        <w:t xml:space="preserve"> identification of new specimens as part of quality control of laboratory procedures. The unit of competency does not cover the scientific identification of species or specimens.</w:t>
      </w:r>
    </w:p>
    <w:p w:rsidR="00000000" w:rsidRPr="00AF1AA0" w:rsidP="00976444">
      <w:pPr>
        <w:pStyle w:val="BodyText"/>
      </w:pPr>
      <w:r w:rsidRPr="00AF1AA0">
        <w:t>This unit applies to technical officers and laboratory technicians working i</w:t>
      </w:r>
      <w:r w:rsidRPr="00AF1AA0">
        <w:t>n all industry sectors.</w:t>
      </w:r>
    </w:p>
    <w:p w:rsidR="00000000" w:rsidRPr="00AF1AA0" w:rsidP="00976444">
      <w:pPr>
        <w:pStyle w:val="BodyText"/>
      </w:pPr>
      <w:r w:rsidRPr="00AF1AA0">
        <w:t>No licensing or certifi</w:t>
      </w:r>
      <w:r w:rsidRPr="00AF1AA0">
        <w:t>cation requirements exist at the time of publication. However, regulations and/or external accreditation requirements for laboratory operations exist, so local requirements should be checked. Relevant legislation, industry standards and codes of practice w</w:t>
      </w:r>
      <w:r w:rsidRPr="00AF1AA0">
        <w:t>ithin Australia must also be applied.</w:t>
      </w:r>
    </w:p>
    <w:p w:rsidR="00000000" w:rsidRPr="00AF1AA0" w:rsidP="00AF1AA0">
      <w:pPr>
        <w:pStyle w:val="Heading1"/>
      </w:pPr>
      <w:bookmarkStart w:id="3" w:name="O_986064"/>
      <w:bookmarkEnd w:id="3"/>
      <w:r w:rsidRPr="00AF1AA0">
        <w:t>Pre-requisite Unit</w:t>
      </w:r>
    </w:p>
    <w:p w:rsidR="00000000" w:rsidRPr="00AF1AA0" w:rsidP="00976444">
      <w:pPr>
        <w:pStyle w:val="BodyText"/>
      </w:pPr>
      <w:r w:rsidRPr="00AF1AA0">
        <w:t>Nil</w:t>
      </w:r>
    </w:p>
    <w:p w:rsidR="00000000" w:rsidRPr="00AF1AA0" w:rsidP="00AF1AA0">
      <w:pPr>
        <w:pStyle w:val="Heading1"/>
      </w:pPr>
      <w:bookmarkStart w:id="4" w:name="O_986063"/>
      <w:bookmarkEnd w:id="4"/>
      <w:r w:rsidRPr="00AF1AA0">
        <w:t>Competency Field</w:t>
      </w:r>
    </w:p>
    <w:p w:rsidR="00000000" w:rsidRPr="00AF1AA0" w:rsidP="00976444">
      <w:pPr>
        <w:pStyle w:val="BodyText"/>
      </w:pPr>
      <w:r w:rsidRPr="00AF1AA0">
        <w:t xml:space="preserve">Quality </w:t>
      </w:r>
    </w:p>
    <w:p w:rsidR="00000000" w:rsidRPr="00AF1AA0" w:rsidP="00AF1AA0">
      <w:pPr>
        <w:pStyle w:val="Heading1"/>
      </w:pPr>
      <w:bookmarkStart w:id="5" w:name="O_986062"/>
      <w:bookmarkEnd w:id="5"/>
      <w:r w:rsidRPr="00AF1A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Performance criteria describe the perform</w:t>
            </w:r>
            <w:r w:rsidRPr="00AF1AA0">
              <w:t>ance needed to demonstrate achievement of the element.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A0" w:rsidP="00AF1AA0">
            <w:pPr>
              <w:pStyle w:val="BodyText"/>
            </w:pPr>
            <w:r w:rsidRPr="00AF1AA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rPr>
                <w:rStyle w:val="SpecialBold"/>
              </w:rPr>
              <w:t>Acquire reference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Confirm that required transit conditions were maintained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Apply quarantine or isolation arrangements as necessary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Record data of accessione</w:t>
            </w:r>
            <w:r w:rsidRPr="00AF1AA0">
              <w:t>d reference material in the collection database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Label material to ensure that its identity is maintained during storage and issue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A0" w:rsidP="00AF1AA0">
            <w:pPr>
              <w:pStyle w:val="BodyText"/>
            </w:pPr>
            <w:r w:rsidRPr="00AF1AA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rPr>
                <w:rStyle w:val="SpecialBold"/>
              </w:rPr>
              <w:t>Maintain reference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Monitor storage conditions to ensure that they comply with suppliers</w:t>
            </w:r>
            <w:r>
              <w:t>’</w:t>
            </w:r>
            <w:r w:rsidRPr="00AF1AA0">
              <w:t xml:space="preserve"> warranty specifications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Monitor storage conditions to ensure materials remain true to specification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Test material during storage and before release to report on reference characteristics and specificity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Report findings that suggest reference specimens may be deteriorating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A0" w:rsidP="00AF1AA0">
            <w:pPr>
              <w:pStyle w:val="BodyText"/>
            </w:pPr>
            <w:r w:rsidRPr="00AF1AA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rPr>
                <w:rStyle w:val="SpecialBold"/>
              </w:rPr>
              <w:t>Dispense reference materials to clients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Verify requests with supervisor before requests for reference materials are processed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Supply reference material without contamination of stock material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Keep records of materials issued in accordance with workplace procedures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A0" w:rsidP="00AF1AA0">
            <w:pPr>
              <w:pStyle w:val="BodyText"/>
            </w:pPr>
            <w:r w:rsidRPr="00AF1AA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Use established safe work practices and personal protective equipment (PPE) to ensure personal safety and that of other laboratory personnel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Follow safety protocols when handling and processing reference material</w:t>
            </w:r>
            <w:r w:rsidRPr="00AF1AA0">
              <w:t>s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Minimise the generation of wastes and environmental impacts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A0" w:rsidP="00AF1AA0">
            <w:pPr>
              <w:pStyle w:val="BodyText"/>
            </w:pPr>
            <w:r w:rsidRPr="00AF1AA0">
              <w:t>Ensure the safe collection of redundant/outdated stocks for subsequent disposal</w:t>
            </w:r>
          </w:p>
        </w:tc>
      </w:tr>
    </w:tbl>
    <w:p w:rsidR="00000000" w:rsidRPr="00AF1AA0" w:rsidP="00AF1AA0">
      <w:pPr>
        <w:pStyle w:val="BodyText"/>
      </w:pPr>
    </w:p>
    <w:p w:rsidR="00000000" w:rsidRPr="00AF1AA0" w:rsidP="00AF1AA0">
      <w:pPr>
        <w:pStyle w:val="AllowPageBreak"/>
      </w:pPr>
    </w:p>
    <w:p w:rsidR="00000000" w:rsidRPr="00AF1AA0" w:rsidP="00AF1AA0">
      <w:pPr>
        <w:pStyle w:val="Heading1"/>
      </w:pPr>
      <w:bookmarkStart w:id="6" w:name="O_986061"/>
      <w:bookmarkEnd w:id="6"/>
      <w:r w:rsidRPr="00AF1AA0">
        <w:t>Foundation Skills</w:t>
      </w:r>
    </w:p>
    <w:p w:rsidR="00000000" w:rsidRPr="00AF1AA0" w:rsidP="00976444">
      <w:pPr>
        <w:pStyle w:val="BodyText"/>
      </w:pPr>
      <w:r w:rsidRPr="00AF1AA0">
        <w:t>This section describes those language, literacy, numeracy and employment skills that are essential to performance.</w:t>
      </w:r>
    </w:p>
    <w:p w:rsidR="00000000" w:rsidRPr="00AF1AA0" w:rsidP="00AF1AA0">
      <w:pPr>
        <w:pStyle w:val="ListBullet"/>
      </w:pPr>
      <w:r w:rsidRPr="00AF1AA0">
        <w:t>Oral communication skills to interact appropriately and effectively with customers.</w:t>
      </w:r>
    </w:p>
    <w:p w:rsidR="00000000" w:rsidRPr="00AF1AA0" w:rsidP="00976444">
      <w:pPr>
        <w:pStyle w:val="BodyText"/>
      </w:pPr>
      <w:r w:rsidRPr="00AF1AA0">
        <w:t>Other foundation skills essential to performance are explicit in the performance criteria of this unit.</w:t>
      </w:r>
    </w:p>
    <w:p w:rsidR="00000000" w:rsidRPr="00AF1AA0" w:rsidP="00AF1AA0">
      <w:pPr>
        <w:pStyle w:val="Heading1"/>
      </w:pPr>
      <w:bookmarkStart w:id="7" w:name="O_986060"/>
      <w:bookmarkEnd w:id="7"/>
      <w:r w:rsidRPr="00AF1AA0">
        <w:t>Unit Mapping Information</w:t>
      </w:r>
    </w:p>
    <w:p w:rsidR="00000000" w:rsidRPr="00AF1AA0" w:rsidP="00976444">
      <w:pPr>
        <w:pStyle w:val="BodyText"/>
      </w:pPr>
      <w:r w:rsidRPr="00AF1AA0">
        <w:t>Equivalent to MSL935002 Assist in the maintenance of reference materials, Release 1.</w:t>
      </w:r>
    </w:p>
    <w:p w:rsidR="00000000" w:rsidRPr="00AF1AA0" w:rsidP="00AF1AA0">
      <w:pPr>
        <w:pStyle w:val="Heading1"/>
      </w:pPr>
      <w:bookmarkStart w:id="8" w:name="O_986053"/>
      <w:bookmarkEnd w:id="8"/>
      <w:r w:rsidRPr="00AF1AA0">
        <w:t>Links</w:t>
      </w:r>
    </w:p>
    <w:p w:rsidR="00000000" w:rsidRPr="00AF1AA0" w:rsidP="00976444">
      <w:pPr>
        <w:pStyle w:val="BodyText"/>
      </w:pPr>
      <w:r w:rsidRPr="00AF1AA0">
        <w:t>MS</w:t>
      </w:r>
      <w:r w:rsidRPr="00AF1AA0">
        <w:t xml:space="preserve">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0078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F1AA0" w:rsidP="00976444">
      <w:pPr>
        <w:pStyle w:val="BodyText"/>
        <w:sectPr w:rsidSect="00AF1A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1AA0" w:rsidP="00AF1AA0">
      <w:pPr>
        <w:pStyle w:val="SuperHeading"/>
      </w:pPr>
      <w:r w:rsidRPr="00AF1AA0">
        <w:t>Assessment Requirements for MSL9350</w:t>
      </w:r>
      <w:r w:rsidRPr="00AF1AA0">
        <w:t>06 Assist in the maintenance of reference materials</w:t>
      </w:r>
    </w:p>
    <w:p w:rsidR="00000000" w:rsidRPr="00AF1AA0" w:rsidP="00AF1AA0">
      <w:pPr>
        <w:pStyle w:val="Heading1"/>
      </w:pPr>
      <w:bookmarkStart w:id="9" w:name="O_986055"/>
      <w:bookmarkEnd w:id="9"/>
      <w:r w:rsidRPr="00AF1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1AA0" w:rsidP="00AF1AA0">
            <w:pPr>
              <w:pStyle w:val="BodyText"/>
            </w:pPr>
            <w:r w:rsidRPr="00AF1AA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rPr>
                <w:rStyle w:val="SpecialBold"/>
              </w:rPr>
              <w:t>Comments</w:t>
            </w:r>
          </w:p>
        </w:tc>
      </w:tr>
      <w:tr w:rsidTr="00AF1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A0">
            <w:pPr>
              <w:pStyle w:val="BodyText"/>
              <w:rPr>
                <w:lang w:val="en-NZ"/>
              </w:rPr>
            </w:pPr>
            <w:r w:rsidRPr="00AF1AA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A0" w:rsidP="00AF1AA0">
            <w:pPr>
              <w:pStyle w:val="BodyText"/>
            </w:pPr>
            <w:r w:rsidRPr="00AF1AA0">
              <w:t xml:space="preserve">This version was released in </w:t>
            </w:r>
            <w:r w:rsidRPr="00AF1AA0">
              <w:rPr>
                <w:rStyle w:val="Emphasis"/>
              </w:rPr>
              <w:t>MSL Laboratory Operations Training Package Release 2.0.</w:t>
            </w:r>
          </w:p>
          <w:p w:rsidR="00000000" w:rsidRPr="00AF1AA0" w:rsidP="00AF1AA0">
            <w:pPr>
              <w:pStyle w:val="BodyText"/>
            </w:pPr>
            <w:r w:rsidRPr="00AF1AA0">
              <w:t>Supersedes and equivalent to MSL935002 Assist in the maintenance of reference materials. Foundation skill information added. Range of conditions removed. Assessment requirements amended.</w:t>
            </w:r>
          </w:p>
        </w:tc>
      </w:tr>
    </w:tbl>
    <w:p w:rsidR="00000000" w:rsidRPr="00AF1AA0" w:rsidP="00AF1AA0">
      <w:pPr>
        <w:pStyle w:val="BodyText"/>
      </w:pPr>
    </w:p>
    <w:p w:rsidR="00000000" w:rsidRPr="00AF1AA0" w:rsidP="00AF1AA0">
      <w:pPr>
        <w:pStyle w:val="AllowPageBreak"/>
      </w:pPr>
    </w:p>
    <w:p w:rsidR="00000000" w:rsidRPr="00AF1AA0" w:rsidP="00AF1AA0">
      <w:pPr>
        <w:pStyle w:val="Heading1"/>
      </w:pPr>
      <w:bookmarkStart w:id="10" w:name="O_986058"/>
      <w:bookmarkEnd w:id="10"/>
      <w:r w:rsidRPr="00AF1AA0">
        <w:t>Performance Evidence</w:t>
      </w:r>
    </w:p>
    <w:p w:rsidR="00000000" w:rsidRPr="00AF1AA0" w:rsidP="00976444">
      <w:pPr>
        <w:pStyle w:val="BodyText"/>
      </w:pPr>
      <w:r w:rsidRPr="00AF1AA0">
        <w:t>There must be evidence the ca</w:t>
      </w:r>
      <w:r w:rsidRPr="00AF1AA0">
        <w:t>ndidate has completed the tasks outlined in the elements and performance criteria of this unit, and:</w:t>
      </w:r>
    </w:p>
    <w:p w:rsidR="00000000" w:rsidRPr="00AF1AA0" w:rsidP="00AF1AA0">
      <w:pPr>
        <w:pStyle w:val="ListBullet"/>
      </w:pPr>
      <w:r w:rsidRPr="00AF1AA0">
        <w:t>safely and effectively maintained 2 different reference materials so that their reference characteristics and attributes are stable in storage and manifes</w:t>
      </w:r>
      <w:r w:rsidRPr="00AF1AA0">
        <w:t>t in use after retrieval.</w:t>
      </w:r>
    </w:p>
    <w:p w:rsidR="00000000" w:rsidRPr="00AF1AA0" w:rsidP="00AF1AA0">
      <w:pPr>
        <w:pStyle w:val="AllowPageBreak"/>
      </w:pPr>
    </w:p>
    <w:p w:rsidR="00000000" w:rsidRPr="00AF1AA0" w:rsidP="00AF1AA0">
      <w:pPr>
        <w:pStyle w:val="Heading1"/>
      </w:pPr>
      <w:bookmarkStart w:id="11" w:name="O_986057"/>
      <w:bookmarkEnd w:id="11"/>
      <w:r w:rsidRPr="00AF1AA0">
        <w:t>Knowledge Evidence</w:t>
      </w:r>
    </w:p>
    <w:p w:rsidR="00000000" w:rsidRPr="00AF1AA0" w:rsidP="00976444">
      <w:pPr>
        <w:pStyle w:val="BodyText"/>
      </w:pPr>
      <w:r w:rsidRPr="00AF1AA0">
        <w:t>There must be evidence the candidate has knowledge of:</w:t>
      </w:r>
    </w:p>
    <w:p w:rsidR="00000000" w:rsidRPr="00AF1AA0" w:rsidP="00AF1AA0">
      <w:pPr>
        <w:pStyle w:val="ListBullet"/>
      </w:pPr>
      <w:r w:rsidRPr="00AF1AA0">
        <w:t>the nature and purpose of certified reference materials (i.e. what they are, when and why they should be used)</w:t>
      </w:r>
    </w:p>
    <w:p w:rsidR="00000000" w:rsidRPr="00AF1AA0" w:rsidP="00AF1AA0">
      <w:pPr>
        <w:pStyle w:val="ListBullet"/>
      </w:pPr>
      <w:r w:rsidRPr="00AF1AA0">
        <w:t>the storage requirements of biological and non-biological materials</w:t>
      </w:r>
    </w:p>
    <w:p w:rsidR="00000000" w:rsidRPr="00AF1AA0" w:rsidP="00AF1AA0">
      <w:pPr>
        <w:pStyle w:val="ListBullet"/>
      </w:pPr>
      <w:r w:rsidRPr="00AF1AA0">
        <w:t>quarantine or isolation procedures relevant to work area</w:t>
      </w:r>
    </w:p>
    <w:p w:rsidR="00000000" w:rsidRPr="00AF1AA0" w:rsidP="00AF1AA0">
      <w:pPr>
        <w:pStyle w:val="ListBullet"/>
      </w:pPr>
      <w:r w:rsidRPr="00AF1AA0">
        <w:t>the labile nature of chemical and biological materials</w:t>
      </w:r>
    </w:p>
    <w:p w:rsidR="00000000" w:rsidRPr="00AF1AA0" w:rsidP="00AF1AA0">
      <w:pPr>
        <w:pStyle w:val="ListBullet"/>
      </w:pPr>
      <w:r w:rsidRPr="00AF1AA0">
        <w:t>reasons for testing before accession and before issuing reference materials</w:t>
      </w:r>
    </w:p>
    <w:p w:rsidR="00000000" w:rsidRPr="00AF1AA0" w:rsidP="00AF1AA0">
      <w:pPr>
        <w:pStyle w:val="ListBullet"/>
      </w:pPr>
      <w:r w:rsidRPr="00AF1AA0">
        <w:t>relevant reference materials</w:t>
      </w:r>
    </w:p>
    <w:p w:rsidR="00000000" w:rsidRPr="00AF1AA0" w:rsidP="00AF1AA0">
      <w:pPr>
        <w:pStyle w:val="ListBullet"/>
      </w:pPr>
      <w:r w:rsidRPr="00AF1AA0">
        <w:t>legal, ethical and work health and safety (WHS) requirements specific to the work task.</w:t>
      </w:r>
    </w:p>
    <w:p w:rsidR="00000000" w:rsidRPr="00AF1AA0" w:rsidP="00AF1AA0">
      <w:pPr>
        <w:pStyle w:val="AllowPageBreak"/>
      </w:pPr>
    </w:p>
    <w:p w:rsidR="00000000" w:rsidRPr="00AF1AA0" w:rsidP="00AF1AA0">
      <w:pPr>
        <w:pStyle w:val="Heading1"/>
      </w:pPr>
      <w:bookmarkStart w:id="12" w:name="O_986056"/>
      <w:bookmarkEnd w:id="12"/>
      <w:r w:rsidRPr="00AF1AA0">
        <w:t>Assessment Conditions</w:t>
      </w:r>
    </w:p>
    <w:p w:rsidR="00000000" w:rsidRPr="00AF1AA0" w:rsidP="00976444">
      <w:pPr>
        <w:pStyle w:val="BodyText"/>
      </w:pPr>
      <w:r w:rsidRPr="00AF1AA0">
        <w:t>Skills must have been demonstrated in the workplace or in a simulated environment that reflects work</w:t>
      </w:r>
      <w:r w:rsidRPr="00AF1AA0">
        <w:t xml:space="preserve">place conditions and contingencies. The following conditions must be met for this unit: </w:t>
      </w:r>
    </w:p>
    <w:p w:rsidR="00000000" w:rsidRPr="00AF1AA0" w:rsidP="00AF1AA0">
      <w:pPr>
        <w:pStyle w:val="ListBullet"/>
      </w:pPr>
      <w:r w:rsidRPr="00AF1AA0">
        <w:t>use of suitable facilities, equipment and resources, including:</w:t>
      </w:r>
    </w:p>
    <w:p w:rsidR="00000000" w:rsidRPr="00AF1AA0" w:rsidP="00AF1AA0">
      <w:pPr>
        <w:pStyle w:val="ListBullet2"/>
      </w:pPr>
      <w:r w:rsidRPr="00AF1AA0">
        <w:t>equipment and materials related to the workplace task for which the reference material is relevant</w:t>
      </w:r>
    </w:p>
    <w:p w:rsidR="00000000" w:rsidRPr="00AF1AA0" w:rsidP="00AF1AA0">
      <w:pPr>
        <w:pStyle w:val="ListBullet2"/>
      </w:pPr>
      <w:r w:rsidRPr="00AF1AA0">
        <w:t>reference materials</w:t>
      </w:r>
    </w:p>
    <w:p w:rsidR="00000000" w:rsidRPr="00AF1AA0" w:rsidP="00AF1AA0">
      <w:pPr>
        <w:pStyle w:val="ListBullet2"/>
      </w:pPr>
      <w:r w:rsidRPr="00AF1AA0">
        <w:t>standard operating procedures (SOPs).</w:t>
      </w:r>
    </w:p>
    <w:p w:rsidR="00000000" w:rsidRPr="00AF1AA0" w:rsidP="00AF1AA0">
      <w:pPr>
        <w:pStyle w:val="BodyText"/>
      </w:pPr>
    </w:p>
    <w:p w:rsidR="00000000" w:rsidRPr="00AF1AA0" w:rsidP="00976444">
      <w:pPr>
        <w:pStyle w:val="BodyText"/>
      </w:pPr>
      <w:r w:rsidRPr="00AF1AA0">
        <w:t>Assessors must satisfy the NVR/AQTF mandatory competency requirements for assessors.</w:t>
      </w:r>
    </w:p>
    <w:p w:rsidR="00000000" w:rsidRPr="00AF1AA0" w:rsidP="00AF1AA0">
      <w:pPr>
        <w:pStyle w:val="Heading1"/>
      </w:pPr>
      <w:bookmarkStart w:id="13" w:name="O_986054"/>
      <w:bookmarkEnd w:id="13"/>
      <w:r w:rsidRPr="00AF1AA0">
        <w:t>Links</w:t>
      </w:r>
    </w:p>
    <w:p w:rsidR="00000000" w:rsidRPr="00AF1AA0" w:rsidP="00976444">
      <w:pPr>
        <w:pStyle w:val="BodyText"/>
      </w:pPr>
      <w:r w:rsidRPr="00AF1AA0">
        <w:t xml:space="preserve">MSL Laboratory Operations Companion Volume Implementation Guide is available from VETNet </w:t>
      </w:r>
      <w:r w:rsidRPr="00AF1AA0">
        <w:t xml:space="preserve">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0078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F1AA0" w:rsidP="00AF1AA0"/>
    <w:sectPr w:rsidSect="00AF1A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A0" w:rsidRPr="00976444" w:rsidP="00976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44" w:rsidP="00AF1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444" w:rsidP="00AF1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6444" w:rsidP="00AF1A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A0" w:rsidP="00AF1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444">
      <w:t>Approved</w:t>
    </w:r>
    <w:r w:rsidR="009764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4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444">
      <w:rPr>
        <w:noProof/>
      </w:rPr>
      <w:t>4</w:t>
    </w:r>
    <w:r>
      <w:rPr>
        <w:noProof/>
      </w:rPr>
      <w:fldChar w:fldCharType="end"/>
    </w:r>
  </w:p>
  <w:p w:rsidR="00AF1AA0" w:rsidP="00AF1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4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444">
      <w:t>Manufacturing Industry Skills Alliance</w:t>
    </w:r>
    <w:r w:rsidR="00976444">
      <w:fldChar w:fldCharType="end"/>
    </w:r>
  </w:p>
  <w:p w:rsidR="00AF1AA0" w:rsidP="00AF1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AA0" w:rsidRPr="00976444" w:rsidP="00976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44" w:rsidRPr="002D2AF8" w:rsidP="00AF1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MSL935006 Assist in the maintenance of reference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444" w:rsidP="00AF1A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A0" w:rsidRPr="002D2AF8" w:rsidP="00AF1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444">
      <w:t>MSL935006 Assist in the maintenance of reference materials</w:t>
    </w:r>
    <w:r w:rsidR="009764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444">
      <w:rPr>
        <w:noProof/>
      </w:rPr>
      <w:t>2 March 2025</w:t>
    </w:r>
    <w:r>
      <w:fldChar w:fldCharType="end"/>
    </w:r>
  </w:p>
  <w:p w:rsidR="00AF1AA0" w:rsidP="00AF1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E8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7A0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3EB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AA0"/>
  </w:style>
  <w:style w:type="character" w:customStyle="1" w:styleId="Heading1Char">
    <w:name w:val="Heading 1 Char"/>
    <w:basedOn w:val="DefaultParagraphFont"/>
    <w:link w:val="Heading1"/>
    <w:rsid w:val="00AF1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A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A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AA0"/>
    <w:rPr>
      <w:b/>
      <w:spacing w:val="0"/>
    </w:rPr>
  </w:style>
  <w:style w:type="paragraph" w:styleId="ListBullet2">
    <w:name w:val="List Bullet 2"/>
    <w:basedOn w:val="List2"/>
    <w:rsid w:val="00AF1A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1AA0"/>
    <w:rPr>
      <w:i/>
    </w:rPr>
  </w:style>
  <w:style w:type="paragraph" w:customStyle="1" w:styleId="SuperHeading">
    <w:name w:val="SuperHeading"/>
    <w:basedOn w:val="Normal"/>
    <w:rsid w:val="00AF1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A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A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AA0"/>
  </w:style>
  <w:style w:type="paragraph" w:styleId="TableofFigures">
    <w:name w:val="table of figures"/>
    <w:basedOn w:val="Normal"/>
    <w:next w:val="Normal"/>
    <w:semiHidden/>
    <w:rsid w:val="00AF1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A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AA0"/>
    <w:rPr>
      <w:rFonts w:ascii="Wingdings" w:hAnsi="Wingdings"/>
    </w:rPr>
  </w:style>
  <w:style w:type="paragraph" w:customStyle="1" w:styleId="TableHeading">
    <w:name w:val="Table Heading"/>
    <w:basedOn w:val="HeadingBase"/>
    <w:rsid w:val="00AF1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AA0"/>
    <w:rPr>
      <w:color w:val="0033CC"/>
      <w:u w:val="none"/>
    </w:rPr>
  </w:style>
  <w:style w:type="paragraph" w:customStyle="1" w:styleId="BodyTextRight">
    <w:name w:val="Body Text Right"/>
    <w:basedOn w:val="BodyText"/>
    <w:rsid w:val="00AF1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A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AA0"/>
    <w:rPr>
      <w:sz w:val="32"/>
    </w:rPr>
  </w:style>
  <w:style w:type="paragraph" w:customStyle="1" w:styleId="HeadingProcedure">
    <w:name w:val="Heading Procedure"/>
    <w:basedOn w:val="HeadingBase"/>
    <w:next w:val="Normal"/>
    <w:rsid w:val="00AF1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AA0"/>
    <w:pPr>
      <w:spacing w:before="60" w:after="60"/>
    </w:pPr>
  </w:style>
  <w:style w:type="paragraph" w:styleId="ListContinue">
    <w:name w:val="List Continue"/>
    <w:basedOn w:val="List"/>
    <w:rsid w:val="00AF1AA0"/>
    <w:pPr>
      <w:ind w:firstLine="0"/>
    </w:pPr>
  </w:style>
  <w:style w:type="paragraph" w:customStyle="1" w:styleId="ListNote">
    <w:name w:val="List Note"/>
    <w:basedOn w:val="List"/>
    <w:rsid w:val="00AF1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AA0"/>
    <w:rPr>
      <w:rFonts w:ascii="Courier New" w:hAnsi="Courier New"/>
    </w:rPr>
  </w:style>
  <w:style w:type="paragraph" w:customStyle="1" w:styleId="NoteBullet">
    <w:name w:val="Note Bullet"/>
    <w:basedOn w:val="Note"/>
    <w:rsid w:val="00AF1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A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AA0"/>
    <w:rPr>
      <w:b/>
      <w:smallCaps/>
    </w:rPr>
  </w:style>
  <w:style w:type="paragraph" w:customStyle="1" w:styleId="TableListNumber">
    <w:name w:val="Table List Number"/>
    <w:basedOn w:val="ListNumber"/>
    <w:rsid w:val="00AF1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AA0"/>
    <w:pPr>
      <w:numPr>
        <w:numId w:val="9"/>
      </w:numPr>
    </w:pPr>
  </w:style>
  <w:style w:type="paragraph" w:customStyle="1" w:styleId="ListAlpha2">
    <w:name w:val="List Alpha 2"/>
    <w:basedOn w:val="List2"/>
    <w:rsid w:val="00AF1AA0"/>
    <w:pPr>
      <w:numPr>
        <w:numId w:val="8"/>
      </w:numPr>
    </w:pPr>
  </w:style>
  <w:style w:type="paragraph" w:styleId="List2">
    <w:name w:val="List 2"/>
    <w:basedOn w:val="BodyText"/>
    <w:rsid w:val="00AF1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A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A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AA0"/>
    <w:pPr>
      <w:numPr>
        <w:numId w:val="4"/>
      </w:numPr>
    </w:pPr>
  </w:style>
  <w:style w:type="paragraph" w:styleId="ListContinue2">
    <w:name w:val="List Continue 2"/>
    <w:basedOn w:val="List2"/>
    <w:rsid w:val="00AF1AA0"/>
    <w:pPr>
      <w:ind w:firstLine="0"/>
    </w:pPr>
  </w:style>
  <w:style w:type="paragraph" w:styleId="ListContinue3">
    <w:name w:val="List Continue 3"/>
    <w:basedOn w:val="List3"/>
    <w:rsid w:val="00AF1AA0"/>
    <w:pPr>
      <w:ind w:left="1021" w:firstLine="0"/>
    </w:pPr>
  </w:style>
  <w:style w:type="paragraph" w:styleId="ListContinue4">
    <w:name w:val="List Continue 4"/>
    <w:basedOn w:val="List4"/>
    <w:rsid w:val="00AF1AA0"/>
    <w:pPr>
      <w:ind w:firstLine="0"/>
    </w:pPr>
  </w:style>
  <w:style w:type="paragraph" w:styleId="ListContinue5">
    <w:name w:val="List Continue 5"/>
    <w:basedOn w:val="List5"/>
    <w:rsid w:val="00AF1AA0"/>
    <w:pPr>
      <w:ind w:firstLine="0"/>
    </w:pPr>
  </w:style>
  <w:style w:type="paragraph" w:styleId="ListNumber3">
    <w:name w:val="List Number 3"/>
    <w:basedOn w:val="List3"/>
    <w:rsid w:val="00AF1AA0"/>
    <w:pPr>
      <w:numPr>
        <w:numId w:val="5"/>
      </w:numPr>
    </w:pPr>
  </w:style>
  <w:style w:type="paragraph" w:styleId="ListNumber4">
    <w:name w:val="List Number 4"/>
    <w:basedOn w:val="List4"/>
    <w:rsid w:val="00AF1AA0"/>
    <w:pPr>
      <w:numPr>
        <w:numId w:val="6"/>
      </w:numPr>
    </w:pPr>
  </w:style>
  <w:style w:type="paragraph" w:styleId="ListNumber5">
    <w:name w:val="List Number 5"/>
    <w:basedOn w:val="List5"/>
    <w:rsid w:val="00AF1AA0"/>
    <w:pPr>
      <w:numPr>
        <w:numId w:val="7"/>
      </w:numPr>
    </w:pPr>
  </w:style>
  <w:style w:type="paragraph" w:styleId="BlockText">
    <w:name w:val="Block Text"/>
    <w:basedOn w:val="Normal"/>
    <w:rsid w:val="00AF1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AA0"/>
    <w:rPr>
      <w:sz w:val="16"/>
      <w:vertAlign w:val="superscript"/>
    </w:rPr>
  </w:style>
  <w:style w:type="character" w:customStyle="1" w:styleId="Symbols">
    <w:name w:val="Symbols"/>
    <w:basedOn w:val="DefaultParagraphFont"/>
    <w:rsid w:val="00AF1AA0"/>
    <w:rPr>
      <w:rFonts w:ascii="Symbol" w:hAnsi="Symbol"/>
    </w:rPr>
  </w:style>
  <w:style w:type="character" w:customStyle="1" w:styleId="MenuOptions">
    <w:name w:val="Menu Options"/>
    <w:basedOn w:val="DefaultParagraphFont"/>
    <w:rsid w:val="00AF1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AA0"/>
    <w:rPr>
      <w:b/>
    </w:rPr>
  </w:style>
  <w:style w:type="character" w:customStyle="1" w:styleId="Underlined">
    <w:name w:val="Underlined"/>
    <w:basedOn w:val="DefaultParagraphFont"/>
    <w:rsid w:val="00AF1AA0"/>
    <w:rPr>
      <w:u w:val="single"/>
    </w:rPr>
  </w:style>
  <w:style w:type="paragraph" w:customStyle="1" w:styleId="TableBodyTextRight">
    <w:name w:val="Table Body Text Right"/>
    <w:basedOn w:val="TableBodyText"/>
    <w:rsid w:val="00AF1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AA0"/>
    <w:rPr>
      <w:sz w:val="18"/>
    </w:rPr>
  </w:style>
  <w:style w:type="paragraph" w:customStyle="1" w:styleId="BodySmallRight">
    <w:name w:val="Body Small Right"/>
    <w:basedOn w:val="BodyTextRight"/>
    <w:rsid w:val="00AF1AA0"/>
    <w:rPr>
      <w:sz w:val="18"/>
      <w:szCs w:val="18"/>
    </w:rPr>
  </w:style>
  <w:style w:type="paragraph" w:customStyle="1" w:styleId="MarginEdition">
    <w:name w:val="Margin Edition"/>
    <w:basedOn w:val="MarginNote"/>
    <w:rsid w:val="00AF1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AA0"/>
    <w:rPr>
      <w:sz w:val="2"/>
      <w:szCs w:val="2"/>
    </w:rPr>
  </w:style>
  <w:style w:type="character" w:customStyle="1" w:styleId="Small">
    <w:name w:val="Small"/>
    <w:basedOn w:val="DefaultParagraphFont"/>
    <w:rsid w:val="00AF1AA0"/>
    <w:rPr>
      <w:sz w:val="16"/>
    </w:rPr>
  </w:style>
  <w:style w:type="paragraph" w:customStyle="1" w:styleId="WideTable">
    <w:name w:val="Wide Table"/>
    <w:basedOn w:val="Normal"/>
    <w:rsid w:val="00AF1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AA0"/>
  </w:style>
  <w:style w:type="paragraph" w:styleId="Quote">
    <w:name w:val="Quote"/>
    <w:basedOn w:val="Heading1"/>
    <w:link w:val="QuoteChar"/>
    <w:qFormat/>
    <w:rsid w:val="00AF1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AA0"/>
    <w:pPr>
      <w:pageBreakBefore/>
    </w:pPr>
  </w:style>
  <w:style w:type="paragraph" w:customStyle="1" w:styleId="Border">
    <w:name w:val="Border"/>
    <w:basedOn w:val="Normal"/>
    <w:qFormat/>
    <w:rsid w:val="00AF1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AA0"/>
    <w:rPr>
      <w:u w:val="single"/>
    </w:rPr>
  </w:style>
  <w:style w:type="character" w:customStyle="1" w:styleId="BoldandItalics">
    <w:name w:val="Bold and Italics"/>
    <w:qFormat/>
    <w:rsid w:val="00AF1AA0"/>
    <w:rPr>
      <w:b/>
      <w:i/>
      <w:u w:val="none"/>
    </w:rPr>
  </w:style>
  <w:style w:type="paragraph" w:styleId="BalloonText">
    <w:name w:val="Balloon Text"/>
    <w:basedOn w:val="Normal"/>
    <w:link w:val="BalloonTextChar"/>
    <w:rsid w:val="00AF1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AA0"/>
    <w:pPr>
      <w:spacing w:before="0" w:after="0"/>
    </w:pPr>
  </w:style>
  <w:style w:type="paragraph" w:customStyle="1" w:styleId="BodyTextBold">
    <w:name w:val="Body Text Bold"/>
    <w:basedOn w:val="BodyText"/>
    <w:qFormat/>
    <w:rsid w:val="00AF1AA0"/>
    <w:rPr>
      <w:b/>
    </w:rPr>
  </w:style>
  <w:style w:type="character" w:styleId="Hyperlink">
    <w:name w:val="Hyperlink"/>
    <w:basedOn w:val="DefaultParagraphFont"/>
    <w:uiPriority w:val="99"/>
    <w:unhideWhenUsed/>
    <w:rsid w:val="00976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4984</Characters>
  <Application>Microsoft Office Word</Application>
  <DocSecurity>0</DocSecurity>
  <Lines>207</Lines>
  <Paragraphs>112</Paragraphs>
  <ScaleCrop>false</ScaleCrop>
  <Company>Author-it Software Corporation Ltd.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MSL935006 Assist in the maintenance of reference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