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C38" w:rsidP="00BD5C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MSL935005 Authorise the issue of test results</w:t>
      </w:r>
      <w:r>
        <w:fldChar w:fldCharType="end"/>
      </w:r>
    </w:p>
    <w:p w:rsidR="00BD5C38" w:rsidP="00BD5C38">
      <w:pPr>
        <w:pStyle w:val="Version"/>
        <w:sectPr w:rsidSect="00FA2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3A5" w:rsidP="00FA23A5">
      <w:pPr>
        <w:pStyle w:val="SuperHeading"/>
      </w:pPr>
      <w:r w:rsidRPr="00FA23A5">
        <w:t>MSL935005 Authorise the issue of test results</w:t>
      </w:r>
    </w:p>
    <w:p w:rsidR="00000000" w:rsidRPr="00FA23A5" w:rsidP="00FA23A5">
      <w:pPr>
        <w:pStyle w:val="Heading1"/>
      </w:pPr>
      <w:bookmarkStart w:id="1" w:name="O_973914"/>
      <w:bookmarkEnd w:id="1"/>
      <w:r w:rsidRPr="00FA23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23A5" w:rsidP="00FA23A5">
            <w:pPr>
              <w:pStyle w:val="BodyText"/>
            </w:pPr>
            <w:r w:rsidRPr="00FA23A5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rPr>
                <w:rStyle w:val="SpecialBold"/>
              </w:rPr>
              <w:t>Comments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A5" w:rsidP="00FA23A5">
            <w:pPr>
              <w:pStyle w:val="BodyText"/>
            </w:pPr>
            <w:r w:rsidRPr="00FA23A5">
              <w:t xml:space="preserve">This version was released in </w:t>
            </w:r>
            <w:r w:rsidRPr="00FA23A5">
              <w:rPr>
                <w:rStyle w:val="Emphasis"/>
              </w:rPr>
              <w:t>MSL Laboratory Operations Training Package Release 2.0.</w:t>
            </w:r>
          </w:p>
          <w:p w:rsidR="00000000" w:rsidRPr="00FA23A5" w:rsidP="00FA23A5">
            <w:pPr>
              <w:pStyle w:val="BodyText"/>
            </w:pPr>
            <w:r w:rsidRPr="00FA23A5">
              <w:t xml:space="preserve">Supersedes and equivalent to </w:t>
            </w:r>
            <w:r w:rsidRPr="00FA23A5">
              <w:rPr>
                <w:rStyle w:val="Emphasis"/>
              </w:rPr>
              <w:t>MSL935003 Authorise the issue of test results</w:t>
            </w:r>
            <w:r w:rsidRPr="00FA23A5">
              <w:t>. Conditional/optional prerequisite remo</w:t>
            </w:r>
            <w:r w:rsidRPr="00FA23A5">
              <w:t>ved. Foundation skills information added. Range of conditions removed. Assessment requirements amended.</w:t>
            </w:r>
          </w:p>
          <w:p w:rsidR="00000000" w:rsidRPr="00FA23A5" w:rsidP="00FA23A5">
            <w:pPr>
              <w:pStyle w:val="BodyText"/>
            </w:pPr>
          </w:p>
        </w:tc>
      </w:tr>
    </w:tbl>
    <w:p w:rsidR="00000000" w:rsidRPr="00FA23A5" w:rsidP="00FA23A5">
      <w:pPr>
        <w:pStyle w:val="BodyText"/>
      </w:pPr>
    </w:p>
    <w:p w:rsidR="00000000" w:rsidRPr="00FA23A5" w:rsidP="00FA23A5">
      <w:pPr>
        <w:pStyle w:val="AllowPageBreak"/>
      </w:pPr>
    </w:p>
    <w:p w:rsidR="00000000" w:rsidRPr="00FA23A5" w:rsidP="00FA23A5">
      <w:pPr>
        <w:pStyle w:val="Heading1"/>
      </w:pPr>
      <w:bookmarkStart w:id="2" w:name="O_973915"/>
      <w:bookmarkEnd w:id="2"/>
      <w:r w:rsidRPr="00FA23A5">
        <w:t>Application</w:t>
      </w:r>
    </w:p>
    <w:p w:rsidR="00000000" w:rsidRPr="00FA23A5" w:rsidP="00BD5C38">
      <w:pPr>
        <w:pStyle w:val="BodyText"/>
      </w:pPr>
      <w:r w:rsidRPr="00FA23A5">
        <w:t>This unit of competency describes the skills and knowledge to critically assess the accuracy of data and validity of tes</w:t>
      </w:r>
      <w:r w:rsidRPr="00FA23A5">
        <w:t xml:space="preserve">t results prior to formally authorising their release to the client. It involves the statistical analysis of data and information generated during calibration, sampling and testing to determine whether quality and/or process parameters have been achieved. </w:t>
      </w:r>
      <w:r w:rsidRPr="00FA23A5">
        <w:t>Personnel are required to investigate and, if necessary, rectify results that are not consistent with expected values.</w:t>
      </w:r>
    </w:p>
    <w:p w:rsidR="00000000" w:rsidRPr="00FA23A5" w:rsidP="00BD5C38">
      <w:pPr>
        <w:pStyle w:val="BodyText"/>
      </w:pPr>
      <w:r w:rsidRPr="00FA23A5">
        <w:t>This unit applies to laboratory personnel working in all industry sectors who are approved by their organisation to authorise the result</w:t>
      </w:r>
      <w:r w:rsidRPr="00FA23A5">
        <w:t xml:space="preserve">s obtained for specific test methods. In many instances, these personnel are known as </w:t>
      </w:r>
      <w:r>
        <w:t>‘</w:t>
      </w:r>
      <w:r w:rsidRPr="00FA23A5">
        <w:t>signatories</w:t>
      </w:r>
      <w:r>
        <w:t>’</w:t>
      </w:r>
      <w:r w:rsidRPr="00FA23A5">
        <w:t xml:space="preserve"> or </w:t>
      </w:r>
      <w:r>
        <w:t>‘</w:t>
      </w:r>
      <w:r w:rsidRPr="00FA23A5">
        <w:t>delegates</w:t>
      </w:r>
      <w:r>
        <w:t>’</w:t>
      </w:r>
      <w:r w:rsidRPr="00FA23A5">
        <w:t xml:space="preserve"> for the tests involved. The scope of tests authorised in each case will be determined by the specialised knowledge, technical competence and </w:t>
      </w:r>
      <w:r w:rsidRPr="00FA23A5">
        <w:t>experience of the personnel involved.</w:t>
      </w:r>
    </w:p>
    <w:p w:rsidR="00000000" w:rsidRPr="00FA23A5" w:rsidP="00BD5C38">
      <w:pPr>
        <w:pStyle w:val="BodyText"/>
      </w:pPr>
      <w:r w:rsidRPr="00FA23A5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FA23A5">
        <w:t>and codes of practice within Australia must also be applied.</w:t>
      </w:r>
    </w:p>
    <w:p w:rsidR="00000000" w:rsidRPr="00FA23A5" w:rsidP="00FA23A5">
      <w:pPr>
        <w:pStyle w:val="Heading1"/>
      </w:pPr>
      <w:bookmarkStart w:id="3" w:name="O_973916"/>
      <w:bookmarkEnd w:id="3"/>
      <w:r w:rsidRPr="00FA23A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434"/>
      </w:tblGrid>
      <w:tr w:rsidTr="00BD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MSL925004</w:t>
            </w:r>
          </w:p>
        </w:tc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A5" w:rsidP="00FA23A5">
            <w:pPr>
              <w:pStyle w:val="BodyText"/>
            </w:pPr>
            <w:r w:rsidRPr="00FA23A5">
              <w:t>Analyse data and report results</w:t>
            </w:r>
          </w:p>
        </w:tc>
      </w:tr>
    </w:tbl>
    <w:p w:rsidR="00000000" w:rsidRPr="00FA23A5" w:rsidP="00FA23A5">
      <w:pPr>
        <w:pStyle w:val="BodyText"/>
      </w:pPr>
    </w:p>
    <w:p w:rsidR="00000000" w:rsidRPr="00FA23A5" w:rsidP="00FA23A5">
      <w:pPr>
        <w:pStyle w:val="AllowPageBreak"/>
      </w:pPr>
    </w:p>
    <w:p w:rsidR="00000000" w:rsidRPr="00FA23A5" w:rsidP="00FA23A5">
      <w:pPr>
        <w:pStyle w:val="Heading1"/>
      </w:pPr>
      <w:bookmarkStart w:id="4" w:name="O_973917"/>
      <w:bookmarkEnd w:id="4"/>
      <w:r w:rsidRPr="00FA23A5">
        <w:t>Competency Field</w:t>
      </w:r>
    </w:p>
    <w:p w:rsidR="00000000" w:rsidRPr="00FA23A5" w:rsidP="00BD5C38">
      <w:pPr>
        <w:pStyle w:val="BodyText"/>
      </w:pPr>
      <w:r w:rsidRPr="00FA23A5">
        <w:t>Quality</w:t>
      </w:r>
    </w:p>
    <w:p w:rsidR="00000000" w:rsidRPr="00FA23A5" w:rsidP="00FA23A5">
      <w:pPr>
        <w:pStyle w:val="Heading1"/>
      </w:pPr>
      <w:bookmarkStart w:id="5" w:name="O_973919"/>
      <w:bookmarkEnd w:id="5"/>
      <w:r w:rsidRPr="00FA23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 xml:space="preserve">Elements describe the </w:t>
            </w:r>
            <w:r w:rsidRPr="00FA23A5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Performance criteria describe the performance needed to demonstrate achievement of the element.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A5" w:rsidP="00FA23A5">
            <w:pPr>
              <w:pStyle w:val="BodyText"/>
            </w:pPr>
            <w:r w:rsidRPr="00FA23A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rPr>
                <w:rStyle w:val="SpecialBold"/>
              </w:rPr>
              <w:t>Verify the accuracy of data and technical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Access relevant job instructions, data and technical records in laboratory information management system (LIMS)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Confirm that technical records provide sufficient information to ensure traceability for the tests involved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Compare data with expected values and identify any outliers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Inspect data records to check the integrity of data entry, alterations, transfers and calculations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Correct and initial any incorrect data records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Sign off data records as corr</w:t>
            </w:r>
            <w:r w:rsidRPr="00FA23A5">
              <w:t>ect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A5" w:rsidP="00FA23A5">
            <w:pPr>
              <w:pStyle w:val="BodyText"/>
            </w:pPr>
            <w:r w:rsidRPr="00FA23A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rPr>
                <w:rStyle w:val="SpecialBold"/>
              </w:rPr>
              <w:t>Determine if results are acceptable and within expectation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Compare results with expected values and identify any significant differences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Check the reliability of results by examining data, s</w:t>
            </w:r>
            <w:r w:rsidRPr="00FA23A5">
              <w:t>tatistical analysis of data and results from repeat tests or duplicate samples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Assess the significance of any documented observations of atypical test conditions or environment and/or sample appearance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Check that all calculations are free from error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Check that estimates of uncertainty are reasonable and consistent with the test method, client and/or product specification requirements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Authorise the issue of results that meet the organisation</w:t>
            </w:r>
            <w:r>
              <w:t>’</w:t>
            </w:r>
            <w:r w:rsidRPr="00FA23A5">
              <w:t>s quality standards and are consistent with expectations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A5" w:rsidP="00FA23A5">
            <w:pPr>
              <w:pStyle w:val="BodyText"/>
            </w:pPr>
            <w:r w:rsidRPr="00FA23A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rPr>
                <w:rStyle w:val="SpecialBold"/>
              </w:rPr>
              <w:t>Investigate unexpected or unacceptable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Examine records of pre-use checks and calibration performance to ensure that the equipment and/or instruments used meet test specifications and workplace requirements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Establish whether human and/or environmental factors could have affected the relia</w:t>
            </w:r>
            <w:r w:rsidRPr="00FA23A5">
              <w:t>bility of results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Check for obvious sources of interferences that may have occurred during measurements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Retrieve stored samples (if available) and assess whether they are atypical or contaminated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Perform control tests using the same, or new, samples to check unexpected results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Authorise the issue of unexpected results that meet the organisation</w:t>
            </w:r>
            <w:r>
              <w:t>’</w:t>
            </w:r>
            <w:r w:rsidRPr="00FA23A5">
              <w:t>s quality standards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Identify possible root causes of unacceptable results and appropriate preventative/corrective actions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Report investigation outcomes and recommendations for improvements in accordance with workplace procedures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A5" w:rsidP="00FA23A5">
            <w:pPr>
              <w:pStyle w:val="BodyText"/>
            </w:pPr>
            <w:r w:rsidRPr="00FA23A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rPr>
                <w:rStyle w:val="SpecialBold"/>
              </w:rPr>
              <w:t>Liaise with clients about result</w:t>
            </w:r>
            <w:r w:rsidRPr="00FA23A5">
              <w:rPr>
                <w:rStyle w:val="SpecialBold"/>
              </w:rPr>
              <w:t>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Establish whether sampling procedures used by the client could contribute to unexpected/unacceptable results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Arrange for new samples and/or re-testing as necessary</w:t>
            </w:r>
          </w:p>
        </w:tc>
      </w:tr>
      <w:tr w:rsidTr="00FA2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A5">
            <w:pPr>
              <w:pStyle w:val="BodyText"/>
              <w:rPr>
                <w:lang w:val="en-NZ"/>
              </w:rPr>
            </w:pPr>
            <w:r w:rsidRPr="00FA23A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A5" w:rsidP="00FA23A5">
            <w:pPr>
              <w:pStyle w:val="BodyText"/>
            </w:pPr>
            <w:r w:rsidRPr="00FA23A5">
              <w:t>Explain investigation outcomes and confidence level for unexpected test results</w:t>
            </w:r>
          </w:p>
        </w:tc>
      </w:tr>
    </w:tbl>
    <w:p w:rsidR="00000000" w:rsidRPr="00FA23A5" w:rsidP="00FA23A5">
      <w:pPr>
        <w:pStyle w:val="BodyText"/>
      </w:pPr>
    </w:p>
    <w:p w:rsidR="00000000" w:rsidRPr="00FA23A5" w:rsidP="00FA23A5">
      <w:pPr>
        <w:pStyle w:val="AllowPageBreak"/>
      </w:pPr>
    </w:p>
    <w:p w:rsidR="00000000" w:rsidRPr="00FA23A5" w:rsidP="00FA23A5">
      <w:pPr>
        <w:pStyle w:val="Heading1"/>
      </w:pPr>
      <w:bookmarkStart w:id="6" w:name="O_973920"/>
      <w:bookmarkEnd w:id="6"/>
      <w:r w:rsidRPr="00FA23A5">
        <w:t>Foundation Skills</w:t>
      </w:r>
    </w:p>
    <w:p w:rsidR="00000000" w:rsidRPr="00FA23A5" w:rsidP="00BD5C38">
      <w:pPr>
        <w:pStyle w:val="BodyText"/>
      </w:pPr>
      <w:r w:rsidRPr="00FA23A5">
        <w:t>This section describes those language, literacy, numeracy and employment skills that are essential to performance.</w:t>
      </w:r>
    </w:p>
    <w:p w:rsidR="00000000" w:rsidRPr="00FA23A5" w:rsidP="00FA23A5">
      <w:pPr>
        <w:pStyle w:val="ListBullet"/>
      </w:pPr>
      <w:r w:rsidRPr="00FA23A5">
        <w:t>Oral communication skills to recommend appropriate preventative/corrective actions to control potential/actual non-conforming work</w:t>
      </w:r>
    </w:p>
    <w:p w:rsidR="00000000" w:rsidRPr="00FA23A5" w:rsidP="00FA23A5">
      <w:pPr>
        <w:pStyle w:val="ListBullet"/>
      </w:pPr>
      <w:r w:rsidRPr="00FA23A5">
        <w:t>Numeracy skills to:</w:t>
      </w:r>
    </w:p>
    <w:p w:rsidR="00000000" w:rsidRPr="00FA23A5" w:rsidP="00FA23A5">
      <w:pPr>
        <w:pStyle w:val="ListBullet2"/>
      </w:pPr>
      <w:r w:rsidRPr="00FA23A5">
        <w:t>use statistical tests to estimate uncertainties and determine data acceptability</w:t>
      </w:r>
    </w:p>
    <w:p w:rsidR="00000000" w:rsidRPr="00FA23A5" w:rsidP="00FA23A5">
      <w:pPr>
        <w:pStyle w:val="ListBullet2"/>
      </w:pPr>
      <w:r w:rsidRPr="00FA23A5">
        <w:t>recognise unexpected or</w:t>
      </w:r>
      <w:r w:rsidRPr="00FA23A5">
        <w:t xml:space="preserve"> unacceptable data and results and then </w:t>
      </w:r>
    </w:p>
    <w:p w:rsidR="00000000" w:rsidRPr="00FA23A5" w:rsidP="00FA23A5">
      <w:pPr>
        <w:pStyle w:val="ListBullet2"/>
      </w:pPr>
      <w:r w:rsidRPr="00FA23A5">
        <w:t>rectifying results that are not consistent with expected values</w:t>
      </w:r>
    </w:p>
    <w:p w:rsidR="00000000" w:rsidRPr="00FA23A5" w:rsidP="00FA23A5">
      <w:pPr>
        <w:pStyle w:val="ListBullet"/>
      </w:pPr>
      <w:r w:rsidRPr="00FA23A5">
        <w:t xml:space="preserve">Problem-solving skills to use effective strategies to investigate unexpected occurrences in a logical and efficient manner. </w:t>
      </w:r>
    </w:p>
    <w:p w:rsidR="00000000" w:rsidRPr="00FA23A5" w:rsidP="00FA23A5">
      <w:pPr>
        <w:pStyle w:val="BodyText"/>
      </w:pPr>
    </w:p>
    <w:p w:rsidR="00000000" w:rsidRPr="00FA23A5" w:rsidP="00BD5C38">
      <w:pPr>
        <w:pStyle w:val="BodyText"/>
      </w:pPr>
      <w:r w:rsidRPr="00FA23A5">
        <w:t>Foundation skills essent</w:t>
      </w:r>
      <w:r w:rsidRPr="00FA23A5">
        <w:t>ial to performance are explicit in the performance criteria of this unit of competency.</w:t>
      </w:r>
    </w:p>
    <w:p w:rsidR="00000000" w:rsidRPr="00FA23A5" w:rsidP="00FA23A5">
      <w:pPr>
        <w:pStyle w:val="Heading1"/>
      </w:pPr>
      <w:bookmarkStart w:id="7" w:name="O_973922"/>
      <w:bookmarkEnd w:id="7"/>
      <w:r w:rsidRPr="00FA23A5">
        <w:t>Unit Mapping Information</w:t>
      </w:r>
    </w:p>
    <w:p w:rsidR="00000000" w:rsidRPr="00FA23A5" w:rsidP="00BD5C38">
      <w:pPr>
        <w:pStyle w:val="BodyText"/>
      </w:pPr>
      <w:r w:rsidRPr="00FA23A5">
        <w:t>Equivalent to MSL935003 Authorise the issue of test results, Release 1.</w:t>
      </w:r>
    </w:p>
    <w:p w:rsidR="00000000" w:rsidRPr="00FA23A5" w:rsidP="00FA23A5">
      <w:pPr>
        <w:pStyle w:val="Heading1"/>
      </w:pPr>
      <w:bookmarkStart w:id="8" w:name="O_973929"/>
      <w:bookmarkEnd w:id="8"/>
      <w:r w:rsidRPr="00FA23A5">
        <w:t>Links</w:t>
      </w:r>
    </w:p>
    <w:p w:rsidR="00000000" w:rsidRPr="00FA23A5" w:rsidP="00BD5C38">
      <w:pPr>
        <w:pStyle w:val="BodyText"/>
      </w:pPr>
      <w:r w:rsidRPr="00FA23A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02B1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A23A5" w:rsidP="00FA23A5"/>
    <w:sectPr w:rsidSect="00FA23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A5" w:rsidRPr="00BD5C38" w:rsidP="00BD5C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C38" w:rsidP="00FA2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C38" w:rsidP="00FA2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5C38" w:rsidP="00FA2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C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3A5" w:rsidRPr="00BD5C38" w:rsidP="00BD5C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C38" w:rsidRPr="002D2AF8" w:rsidP="00FA2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MSL935005 Authorise the issue of test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D5C38" w:rsidP="00FA2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2C4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D81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C04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3A5"/>
  </w:style>
  <w:style w:type="character" w:customStyle="1" w:styleId="Heading1Char">
    <w:name w:val="Heading 1 Char"/>
    <w:basedOn w:val="DefaultParagraphFont"/>
    <w:link w:val="Heading1"/>
    <w:rsid w:val="00FA2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3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3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3A5"/>
    <w:rPr>
      <w:b/>
      <w:spacing w:val="0"/>
    </w:rPr>
  </w:style>
  <w:style w:type="paragraph" w:styleId="ListBullet2">
    <w:name w:val="List Bullet 2"/>
    <w:basedOn w:val="List2"/>
    <w:rsid w:val="00FA23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23A5"/>
    <w:rPr>
      <w:i/>
    </w:rPr>
  </w:style>
  <w:style w:type="paragraph" w:customStyle="1" w:styleId="SuperHeading">
    <w:name w:val="SuperHeading"/>
    <w:basedOn w:val="Normal"/>
    <w:rsid w:val="00FA2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3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3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3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3A5"/>
  </w:style>
  <w:style w:type="paragraph" w:styleId="TableofFigures">
    <w:name w:val="table of figures"/>
    <w:basedOn w:val="Normal"/>
    <w:next w:val="Normal"/>
    <w:semiHidden/>
    <w:rsid w:val="00FA2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3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23A5"/>
    <w:rPr>
      <w:rFonts w:ascii="Wingdings" w:hAnsi="Wingdings"/>
    </w:rPr>
  </w:style>
  <w:style w:type="paragraph" w:customStyle="1" w:styleId="TableHeading">
    <w:name w:val="Table Heading"/>
    <w:basedOn w:val="HeadingBase"/>
    <w:rsid w:val="00FA2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3A5"/>
    <w:rPr>
      <w:color w:val="0033CC"/>
      <w:u w:val="none"/>
    </w:rPr>
  </w:style>
  <w:style w:type="paragraph" w:customStyle="1" w:styleId="BodyTextRight">
    <w:name w:val="Body Text Right"/>
    <w:basedOn w:val="BodyText"/>
    <w:rsid w:val="00FA2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3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3A5"/>
    <w:rPr>
      <w:sz w:val="32"/>
    </w:rPr>
  </w:style>
  <w:style w:type="paragraph" w:customStyle="1" w:styleId="HeadingProcedure">
    <w:name w:val="Heading Procedure"/>
    <w:basedOn w:val="HeadingBase"/>
    <w:next w:val="Normal"/>
    <w:rsid w:val="00FA2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3A5"/>
    <w:pPr>
      <w:spacing w:before="60" w:after="60"/>
    </w:pPr>
  </w:style>
  <w:style w:type="paragraph" w:styleId="ListContinue">
    <w:name w:val="List Continue"/>
    <w:basedOn w:val="List"/>
    <w:rsid w:val="00FA23A5"/>
    <w:pPr>
      <w:ind w:firstLine="0"/>
    </w:pPr>
  </w:style>
  <w:style w:type="paragraph" w:customStyle="1" w:styleId="ListNote">
    <w:name w:val="List Note"/>
    <w:basedOn w:val="List"/>
    <w:rsid w:val="00FA2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3A5"/>
    <w:rPr>
      <w:rFonts w:ascii="Courier New" w:hAnsi="Courier New"/>
    </w:rPr>
  </w:style>
  <w:style w:type="paragraph" w:customStyle="1" w:styleId="NoteBullet">
    <w:name w:val="Note Bullet"/>
    <w:basedOn w:val="Note"/>
    <w:rsid w:val="00FA2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3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2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3A5"/>
    <w:rPr>
      <w:b/>
      <w:smallCaps/>
    </w:rPr>
  </w:style>
  <w:style w:type="paragraph" w:customStyle="1" w:styleId="TableListNumber">
    <w:name w:val="Table List Number"/>
    <w:basedOn w:val="ListNumber"/>
    <w:rsid w:val="00FA2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3A5"/>
    <w:pPr>
      <w:numPr>
        <w:numId w:val="9"/>
      </w:numPr>
    </w:pPr>
  </w:style>
  <w:style w:type="paragraph" w:customStyle="1" w:styleId="ListAlpha2">
    <w:name w:val="List Alpha 2"/>
    <w:basedOn w:val="List2"/>
    <w:rsid w:val="00FA23A5"/>
    <w:pPr>
      <w:numPr>
        <w:numId w:val="8"/>
      </w:numPr>
    </w:pPr>
  </w:style>
  <w:style w:type="paragraph" w:styleId="List2">
    <w:name w:val="List 2"/>
    <w:basedOn w:val="BodyText"/>
    <w:rsid w:val="00FA2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3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3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23A5"/>
    <w:pPr>
      <w:numPr>
        <w:numId w:val="4"/>
      </w:numPr>
    </w:pPr>
  </w:style>
  <w:style w:type="paragraph" w:styleId="ListContinue2">
    <w:name w:val="List Continue 2"/>
    <w:basedOn w:val="List2"/>
    <w:rsid w:val="00FA23A5"/>
    <w:pPr>
      <w:ind w:firstLine="0"/>
    </w:pPr>
  </w:style>
  <w:style w:type="paragraph" w:styleId="ListContinue3">
    <w:name w:val="List Continue 3"/>
    <w:basedOn w:val="List3"/>
    <w:rsid w:val="00FA23A5"/>
    <w:pPr>
      <w:ind w:left="1021" w:firstLine="0"/>
    </w:pPr>
  </w:style>
  <w:style w:type="paragraph" w:styleId="ListContinue4">
    <w:name w:val="List Continue 4"/>
    <w:basedOn w:val="List4"/>
    <w:rsid w:val="00FA23A5"/>
    <w:pPr>
      <w:ind w:firstLine="0"/>
    </w:pPr>
  </w:style>
  <w:style w:type="paragraph" w:styleId="ListContinue5">
    <w:name w:val="List Continue 5"/>
    <w:basedOn w:val="List5"/>
    <w:rsid w:val="00FA23A5"/>
    <w:pPr>
      <w:ind w:firstLine="0"/>
    </w:pPr>
  </w:style>
  <w:style w:type="paragraph" w:styleId="ListNumber3">
    <w:name w:val="List Number 3"/>
    <w:basedOn w:val="List3"/>
    <w:rsid w:val="00FA23A5"/>
    <w:pPr>
      <w:numPr>
        <w:numId w:val="5"/>
      </w:numPr>
    </w:pPr>
  </w:style>
  <w:style w:type="paragraph" w:styleId="ListNumber4">
    <w:name w:val="List Number 4"/>
    <w:basedOn w:val="List4"/>
    <w:rsid w:val="00FA23A5"/>
    <w:pPr>
      <w:numPr>
        <w:numId w:val="6"/>
      </w:numPr>
    </w:pPr>
  </w:style>
  <w:style w:type="paragraph" w:styleId="ListNumber5">
    <w:name w:val="List Number 5"/>
    <w:basedOn w:val="List5"/>
    <w:rsid w:val="00FA23A5"/>
    <w:pPr>
      <w:numPr>
        <w:numId w:val="7"/>
      </w:numPr>
    </w:pPr>
  </w:style>
  <w:style w:type="paragraph" w:styleId="BlockText">
    <w:name w:val="Block Text"/>
    <w:basedOn w:val="Normal"/>
    <w:rsid w:val="00FA2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3A5"/>
    <w:rPr>
      <w:sz w:val="16"/>
      <w:vertAlign w:val="superscript"/>
    </w:rPr>
  </w:style>
  <w:style w:type="character" w:customStyle="1" w:styleId="Symbols">
    <w:name w:val="Symbols"/>
    <w:basedOn w:val="DefaultParagraphFont"/>
    <w:rsid w:val="00FA23A5"/>
    <w:rPr>
      <w:rFonts w:ascii="Symbol" w:hAnsi="Symbol"/>
    </w:rPr>
  </w:style>
  <w:style w:type="character" w:customStyle="1" w:styleId="MenuOptions">
    <w:name w:val="Menu Options"/>
    <w:basedOn w:val="DefaultParagraphFont"/>
    <w:rsid w:val="00FA2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3A5"/>
    <w:rPr>
      <w:b/>
    </w:rPr>
  </w:style>
  <w:style w:type="character" w:customStyle="1" w:styleId="Underlined">
    <w:name w:val="Underlined"/>
    <w:basedOn w:val="DefaultParagraphFont"/>
    <w:rsid w:val="00FA23A5"/>
    <w:rPr>
      <w:u w:val="single"/>
    </w:rPr>
  </w:style>
  <w:style w:type="paragraph" w:customStyle="1" w:styleId="TableBodyTextRight">
    <w:name w:val="Table Body Text Right"/>
    <w:basedOn w:val="TableBodyText"/>
    <w:rsid w:val="00FA2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3A5"/>
    <w:rPr>
      <w:sz w:val="18"/>
    </w:rPr>
  </w:style>
  <w:style w:type="paragraph" w:customStyle="1" w:styleId="BodySmallRight">
    <w:name w:val="Body Small Right"/>
    <w:basedOn w:val="BodyTextRight"/>
    <w:rsid w:val="00FA23A5"/>
    <w:rPr>
      <w:sz w:val="18"/>
      <w:szCs w:val="18"/>
    </w:rPr>
  </w:style>
  <w:style w:type="paragraph" w:customStyle="1" w:styleId="MarginEdition">
    <w:name w:val="Margin Edition"/>
    <w:basedOn w:val="MarginNote"/>
    <w:rsid w:val="00FA2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3A5"/>
    <w:rPr>
      <w:sz w:val="2"/>
      <w:szCs w:val="2"/>
    </w:rPr>
  </w:style>
  <w:style w:type="character" w:customStyle="1" w:styleId="Small">
    <w:name w:val="Small"/>
    <w:basedOn w:val="DefaultParagraphFont"/>
    <w:rsid w:val="00FA23A5"/>
    <w:rPr>
      <w:sz w:val="16"/>
    </w:rPr>
  </w:style>
  <w:style w:type="paragraph" w:customStyle="1" w:styleId="WideTable">
    <w:name w:val="Wide Table"/>
    <w:basedOn w:val="Normal"/>
    <w:rsid w:val="00FA2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3A5"/>
  </w:style>
  <w:style w:type="paragraph" w:styleId="Quote">
    <w:name w:val="Quote"/>
    <w:basedOn w:val="Heading1"/>
    <w:link w:val="QuoteChar"/>
    <w:qFormat/>
    <w:rsid w:val="00FA2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3A5"/>
    <w:pPr>
      <w:pageBreakBefore/>
    </w:pPr>
  </w:style>
  <w:style w:type="paragraph" w:customStyle="1" w:styleId="Border">
    <w:name w:val="Border"/>
    <w:basedOn w:val="Normal"/>
    <w:qFormat/>
    <w:rsid w:val="00FA2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3A5"/>
    <w:rPr>
      <w:u w:val="single"/>
    </w:rPr>
  </w:style>
  <w:style w:type="character" w:customStyle="1" w:styleId="BoldandItalics">
    <w:name w:val="Bold and Italics"/>
    <w:qFormat/>
    <w:rsid w:val="00FA23A5"/>
    <w:rPr>
      <w:b/>
      <w:i/>
      <w:u w:val="none"/>
    </w:rPr>
  </w:style>
  <w:style w:type="paragraph" w:styleId="BalloonText">
    <w:name w:val="Balloon Text"/>
    <w:basedOn w:val="Normal"/>
    <w:link w:val="BalloonTextChar"/>
    <w:rsid w:val="00FA2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3A5"/>
    <w:pPr>
      <w:spacing w:before="0" w:after="0"/>
    </w:pPr>
  </w:style>
  <w:style w:type="paragraph" w:customStyle="1" w:styleId="BodyTextBold">
    <w:name w:val="Body Text Bold"/>
    <w:basedOn w:val="BodyText"/>
    <w:qFormat/>
    <w:rsid w:val="00FA23A5"/>
    <w:rPr>
      <w:b/>
    </w:rPr>
  </w:style>
  <w:style w:type="character" w:styleId="Hyperlink">
    <w:name w:val="Hyperlink"/>
    <w:basedOn w:val="DefaultParagraphFont"/>
    <w:uiPriority w:val="99"/>
    <w:unhideWhenUsed/>
    <w:rsid w:val="00BD5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4908</Characters>
  <Application>Microsoft Office Word</Application>
  <DocSecurity>0</DocSecurity>
  <Lines>223</Lines>
  <Paragraphs>105</Paragraphs>
  <ScaleCrop>false</ScaleCrop>
  <Company>Author-it Software Corporation Ltd.</Company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MSL935005 Authorise the issue of test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