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87F" w:rsidP="00260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MSL935004 Maintain instruments and equipment</w:t>
      </w:r>
      <w:r>
        <w:fldChar w:fldCharType="end"/>
      </w:r>
    </w:p>
    <w:p w:rsidR="0026087F" w:rsidP="0026087F">
      <w:pPr>
        <w:pStyle w:val="Version"/>
        <w:sectPr w:rsidSect="00114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C85" w:rsidP="00114C85">
      <w:pPr>
        <w:pStyle w:val="SuperHeading"/>
      </w:pPr>
      <w:r w:rsidRPr="00114C85">
        <w:t>Assessment Requirements for MSL935004 Maintain instruments and equipment</w:t>
      </w:r>
    </w:p>
    <w:p w:rsidR="00000000" w:rsidRPr="00114C85" w:rsidP="00114C85">
      <w:pPr>
        <w:pStyle w:val="Heading1"/>
      </w:pPr>
      <w:bookmarkStart w:id="1" w:name="O_902347"/>
      <w:bookmarkEnd w:id="1"/>
      <w:r w:rsidRPr="00114C85">
        <w:t>Modification History</w:t>
      </w:r>
    </w:p>
    <w:p w:rsidR="00000000" w:rsidRPr="00114C85" w:rsidP="00114C85">
      <w:pPr>
        <w:pStyle w:val="BodyText"/>
      </w:pPr>
      <w:r w:rsidRPr="00114C85">
        <w:t>Release 1. Supersedes and is equivalent to MSL935004A Maintain instruments and equipment</w:t>
      </w:r>
    </w:p>
    <w:p w:rsidR="00000000" w:rsidRPr="00114C85" w:rsidP="00114C85">
      <w:pPr>
        <w:pStyle w:val="AllowPageBreak"/>
      </w:pPr>
    </w:p>
    <w:p w:rsidR="00000000" w:rsidRPr="00114C85" w:rsidP="00114C85">
      <w:pPr>
        <w:pStyle w:val="Heading1"/>
      </w:pPr>
      <w:bookmarkStart w:id="2" w:name="O_902350"/>
      <w:bookmarkEnd w:id="2"/>
      <w:r w:rsidRPr="00114C85">
        <w:t>Performance Evidence</w:t>
      </w:r>
    </w:p>
    <w:p w:rsidR="00000000" w:rsidRPr="00114C85" w:rsidP="00114C85">
      <w:pPr>
        <w:pStyle w:val="BodyText"/>
      </w:pPr>
      <w:r w:rsidRPr="00114C85">
        <w:t>Evidence of competence in this unit must satisfy all of the requirements of the elements and performance criteria, and include demonstration of:</w:t>
      </w:r>
    </w:p>
    <w:p w:rsidR="00000000" w:rsidRPr="00114C85" w:rsidP="00114C85">
      <w:pPr>
        <w:pStyle w:val="ListBullet"/>
      </w:pPr>
      <w:r w:rsidRPr="00114C85">
        <w:t>checking the serviceability of at least three (3) laboratory/field instruments or items of equipment and perfo</w:t>
      </w:r>
      <w:r w:rsidRPr="00114C85">
        <w:t>rming routine maintenance, such as cleaning, replacement of consumables and minor components, and correct storage</w:t>
      </w:r>
    </w:p>
    <w:p w:rsidR="00000000" w:rsidRPr="00114C85" w:rsidP="00114C85">
      <w:pPr>
        <w:pStyle w:val="ListBullet"/>
      </w:pPr>
      <w:r w:rsidRPr="00114C85">
        <w:t>conducting calibration status/qualification checks for at least two (2) instruments or equipment</w:t>
      </w:r>
    </w:p>
    <w:p w:rsidR="00000000" w:rsidRPr="00114C85" w:rsidP="00114C85">
      <w:pPr>
        <w:pStyle w:val="ListBullet"/>
      </w:pPr>
      <w:r w:rsidRPr="00114C85">
        <w:t xml:space="preserve">obtaining instrument/equipment readings with </w:t>
      </w:r>
      <w:r w:rsidRPr="00114C85">
        <w:t>the required accuracy and precision</w:t>
      </w:r>
    </w:p>
    <w:p w:rsidR="00000000" w:rsidRPr="00114C85" w:rsidP="00114C85">
      <w:pPr>
        <w:pStyle w:val="ListBullet"/>
      </w:pPr>
      <w:r w:rsidRPr="00114C85">
        <w:t>following workplace data recording and reporting procedures</w:t>
      </w:r>
    </w:p>
    <w:p w:rsidR="00000000" w:rsidRPr="00114C85" w:rsidP="00114C85">
      <w:pPr>
        <w:pStyle w:val="ListBullet"/>
      </w:pPr>
      <w:r w:rsidRPr="00114C85">
        <w:t>determining whether an item of equipment/instrument is in correct working order</w:t>
      </w:r>
    </w:p>
    <w:p w:rsidR="00000000" w:rsidRPr="00114C85" w:rsidP="00114C85">
      <w:pPr>
        <w:pStyle w:val="ListBullet"/>
      </w:pPr>
      <w:r w:rsidRPr="00114C85">
        <w:t>recognising the need for specialist servicing and/or repairs</w:t>
      </w:r>
    </w:p>
    <w:p w:rsidR="00000000" w:rsidRPr="00114C85" w:rsidP="00114C85">
      <w:pPr>
        <w:pStyle w:val="ListBullet"/>
      </w:pPr>
      <w:r w:rsidRPr="00114C85">
        <w:t>performing basic tr</w:t>
      </w:r>
      <w:r w:rsidRPr="00114C85">
        <w:t>oubleshooting to locate and rectify basic faults</w:t>
      </w:r>
    </w:p>
    <w:p w:rsidR="00000000" w:rsidRPr="00114C85" w:rsidP="00114C85">
      <w:pPr>
        <w:pStyle w:val="ListBullet"/>
      </w:pPr>
      <w:r w:rsidRPr="00114C85">
        <w:t>performing basic repairs consistent with warranty and service agreements</w:t>
      </w:r>
    </w:p>
    <w:p w:rsidR="00000000" w:rsidRPr="00114C85" w:rsidP="00114C85">
      <w:pPr>
        <w:pStyle w:val="ListBullet"/>
      </w:pPr>
      <w:r w:rsidRPr="00114C85">
        <w:t>following all relevant work health and safety (WHS) requirements.</w:t>
      </w:r>
    </w:p>
    <w:p w:rsidR="00000000" w:rsidRPr="00114C85" w:rsidP="00114C85">
      <w:pPr>
        <w:pStyle w:val="AllowPageBreak"/>
      </w:pPr>
    </w:p>
    <w:p w:rsidR="00000000" w:rsidRPr="00114C85" w:rsidP="00114C85">
      <w:pPr>
        <w:pStyle w:val="Heading1"/>
      </w:pPr>
      <w:bookmarkStart w:id="3" w:name="O_902349"/>
      <w:bookmarkEnd w:id="3"/>
      <w:r w:rsidRPr="00114C85">
        <w:t>Knowledge Evidence</w:t>
      </w:r>
    </w:p>
    <w:p w:rsidR="00000000" w:rsidRPr="00114C85" w:rsidP="00114C85">
      <w:pPr>
        <w:pStyle w:val="BodyText"/>
      </w:pPr>
      <w:r w:rsidRPr="00114C85">
        <w:t>Must provide evidence that demon</w:t>
      </w:r>
      <w:r w:rsidRPr="00114C85">
        <w:t>strates knowledge of:</w:t>
      </w:r>
    </w:p>
    <w:p w:rsidR="00000000" w:rsidRPr="00114C85" w:rsidP="00114C85">
      <w:pPr>
        <w:pStyle w:val="ListBullet"/>
      </w:pPr>
      <w:r w:rsidRPr="00114C85">
        <w:t>role and importance of regular calibration checks and maintenance of instruments and equipment, and maintenance schedules and procedures</w:t>
      </w:r>
    </w:p>
    <w:p w:rsidR="00000000" w:rsidRPr="00114C85" w:rsidP="00114C85">
      <w:pPr>
        <w:pStyle w:val="ListBullet"/>
      </w:pPr>
      <w:r w:rsidRPr="00114C85">
        <w:t>function of key components of the instrument or equipment operating principles, details of the p</w:t>
      </w:r>
      <w:r w:rsidRPr="00114C85">
        <w:t>re-use, calibration and safety checks, and operating procedures for the items used</w:t>
      </w:r>
    </w:p>
    <w:p w:rsidR="00000000" w:rsidRPr="00114C85" w:rsidP="00114C85">
      <w:pPr>
        <w:pStyle w:val="ListBullet"/>
      </w:pPr>
      <w:r w:rsidRPr="00114C85">
        <w:t>sources of uncertainty in instrument or equipment operation and their control</w:t>
      </w:r>
    </w:p>
    <w:p w:rsidR="00000000" w:rsidRPr="00114C85" w:rsidP="00114C85">
      <w:pPr>
        <w:pStyle w:val="ListBullet"/>
      </w:pPr>
      <w:r w:rsidRPr="00114C85">
        <w:t>common sources of faults in the instruments or equipment used and details of their repair</w:t>
      </w:r>
    </w:p>
    <w:p w:rsidR="00000000" w:rsidRPr="00114C85" w:rsidP="00114C85">
      <w:pPr>
        <w:pStyle w:val="ListBullet"/>
      </w:pPr>
      <w:r w:rsidRPr="00114C85">
        <w:t>basic equipment cleaning, maintenance and storage procedures for items of equipment used</w:t>
      </w:r>
    </w:p>
    <w:p w:rsidR="00000000" w:rsidRPr="00114C85" w:rsidP="00114C85">
      <w:pPr>
        <w:pStyle w:val="ListBullet"/>
      </w:pPr>
      <w:r w:rsidRPr="00114C85">
        <w:t>workplace procedures for recording data and reporting results, communicating with service agents and suppliers and ordering stocks</w:t>
      </w:r>
    </w:p>
    <w:p w:rsidR="00000000" w:rsidRPr="00114C85" w:rsidP="00114C85">
      <w:pPr>
        <w:pStyle w:val="ListBullet"/>
      </w:pPr>
      <w:r w:rsidRPr="00114C85">
        <w:t>relevant hazards, WHS and environmen</w:t>
      </w:r>
      <w:r w:rsidRPr="00114C85">
        <w:t>tal management, and control measures.</w:t>
      </w:r>
    </w:p>
    <w:p w:rsidR="00000000" w:rsidRPr="00114C85" w:rsidP="00114C85">
      <w:pPr>
        <w:pStyle w:val="AllowPageBreak"/>
      </w:pPr>
    </w:p>
    <w:p w:rsidR="00000000" w:rsidRPr="00114C85" w:rsidP="00114C85">
      <w:pPr>
        <w:pStyle w:val="Heading1"/>
      </w:pPr>
      <w:bookmarkStart w:id="4" w:name="O_902348"/>
      <w:bookmarkEnd w:id="4"/>
      <w:r w:rsidRPr="00114C85">
        <w:t>Assessment Conditions</w:t>
      </w:r>
    </w:p>
    <w:p w:rsidR="00000000" w:rsidRPr="00114C85" w:rsidP="00114C85">
      <w:pPr>
        <w:pStyle w:val="ListBullet"/>
      </w:pPr>
      <w:r w:rsidRPr="00114C85">
        <w:t>Judgement of competence must be based on holistic assessment of the evidence. Assessment methods must confirm consistency of performance over time, rather than a single assessmen</w:t>
      </w:r>
      <w:r w:rsidRPr="00114C85">
        <w:t xml:space="preserve">t event. </w:t>
      </w:r>
    </w:p>
    <w:p w:rsidR="00000000" w:rsidRPr="00114C85" w:rsidP="00114C85">
      <w:pPr>
        <w:pStyle w:val="ListBullet"/>
      </w:pPr>
      <w:r w:rsidRPr="00114C85">
        <w:t xml:space="preserve">This unit of competency is to be assessed in the workplace or a simulated workplace environment. A simulated workplace environment must reflect realistic operational workplace conditions that cover all aspects of workplace performance, including </w:t>
      </w:r>
      <w:r w:rsidRPr="00114C85">
        <w:t xml:space="preserve">the environment, task skills, task management skills, contingency management skills and job role environment skills.  </w:t>
      </w:r>
    </w:p>
    <w:p w:rsidR="00000000" w:rsidRPr="00114C85" w:rsidP="00114C85">
      <w:pPr>
        <w:pStyle w:val="ListBullet"/>
      </w:pPr>
      <w:r w:rsidRPr="00114C85">
        <w:t xml:space="preserve">Foundation skills are integral to competent performance of the unit and should not be assessed separately. </w:t>
      </w:r>
    </w:p>
    <w:p w:rsidR="00000000" w:rsidRPr="00114C85" w:rsidP="00114C85">
      <w:pPr>
        <w:pStyle w:val="ListBullet"/>
      </w:pPr>
      <w:r w:rsidRPr="00114C85">
        <w:t>Assessment processes and tech</w:t>
      </w:r>
      <w:r w:rsidRPr="00114C85">
        <w:t>niques must be appropriate to the language, literacy and numeracy requirements of the work being performed and the needs of the candidate.</w:t>
      </w:r>
    </w:p>
    <w:p w:rsidR="00000000" w:rsidRPr="00114C85" w:rsidP="00114C85">
      <w:pPr>
        <w:pStyle w:val="ListBullet"/>
      </w:pPr>
      <w:r w:rsidRPr="00114C85">
        <w:t>Knowledge evidence may be collected concurrently with performance evidence or through an independent process, such as</w:t>
      </w:r>
      <w:r w:rsidRPr="00114C85">
        <w:t xml:space="preserve"> workbooks, written assessments or interviews (provided a record is kept in each case).</w:t>
      </w:r>
    </w:p>
    <w:p w:rsidR="00000000" w:rsidRPr="00114C85" w:rsidP="00114C85">
      <w:pPr>
        <w:pStyle w:val="ListBullet"/>
      </w:pPr>
      <w:r w:rsidRPr="00114C85">
        <w:t xml:space="preserve">This unit of competency may be assessed with: </w:t>
      </w:r>
    </w:p>
    <w:p w:rsidR="00000000" w:rsidRPr="00114C85" w:rsidP="00114C85">
      <w:pPr>
        <w:pStyle w:val="ListBullet2"/>
      </w:pPr>
      <w:r w:rsidRPr="00114C85">
        <w:t>relevant MSL974000 series units of competency</w:t>
      </w:r>
    </w:p>
    <w:p w:rsidR="00000000" w:rsidRPr="00114C85" w:rsidP="00114C85">
      <w:pPr>
        <w:pStyle w:val="ListBullet2"/>
      </w:pPr>
      <w:r w:rsidRPr="00114C85">
        <w:t>relevant MSL975000 series units of competency</w:t>
      </w:r>
    </w:p>
    <w:p w:rsidR="00000000" w:rsidRPr="00114C85" w:rsidP="00114C85">
      <w:pPr>
        <w:pStyle w:val="ListBullet"/>
      </w:pPr>
      <w:r w:rsidRPr="00114C85">
        <w:t xml:space="preserve">Holistic assessment methods include: </w:t>
      </w:r>
    </w:p>
    <w:p w:rsidR="00000000" w:rsidRPr="00114C85" w:rsidP="00114C85">
      <w:pPr>
        <w:pStyle w:val="ListBullet2"/>
      </w:pPr>
      <w:r w:rsidRPr="00114C85">
        <w:t>review of maintenance records and instrument/equipment logbooks completed by the candidate</w:t>
      </w:r>
    </w:p>
    <w:p w:rsidR="00000000" w:rsidRPr="00114C85" w:rsidP="00114C85">
      <w:pPr>
        <w:pStyle w:val="ListBullet2"/>
      </w:pPr>
      <w:r w:rsidRPr="00114C85">
        <w:t>observation of the candidate safely performing serviceability and calibration/qualification checks and routine maintenance</w:t>
      </w:r>
    </w:p>
    <w:p w:rsidR="00000000" w:rsidRPr="00114C85" w:rsidP="00114C85">
      <w:pPr>
        <w:pStyle w:val="ListBullet2"/>
      </w:pPr>
      <w:r w:rsidRPr="00114C85">
        <w:t>fee</w:t>
      </w:r>
      <w:r w:rsidRPr="00114C85">
        <w:t>dback from peers and supervisors about the ability of the candidate to maintain instruments and equipment</w:t>
      </w:r>
    </w:p>
    <w:p w:rsidR="00000000" w:rsidRPr="00114C85" w:rsidP="00114C85">
      <w:pPr>
        <w:pStyle w:val="ListBullet2"/>
      </w:pPr>
      <w:r w:rsidRPr="00114C85">
        <w:t>oral or written questioning to check required knowledge of workplace procedures for the safe use, calibration/qualification checks, cleaning, maintena</w:t>
      </w:r>
      <w:r w:rsidRPr="00114C85">
        <w:t>nce and storage of the instruments or items of equipment used.</w:t>
      </w:r>
    </w:p>
    <w:p w:rsidR="00000000" w:rsidRPr="00114C85" w:rsidP="00114C85">
      <w:pPr>
        <w:pStyle w:val="ListBullet"/>
      </w:pPr>
      <w:r w:rsidRPr="00114C85">
        <w:t>Access is required to all instruments, equipment, materials, workplace documentation, procedures and specifications associated with this unit, including, but not limited to:</w:t>
      </w:r>
    </w:p>
    <w:p w:rsidR="00000000" w:rsidRPr="00114C85" w:rsidP="00114C85">
      <w:pPr>
        <w:pStyle w:val="ListBullet2"/>
      </w:pPr>
      <w:r w:rsidRPr="00114C85">
        <w:t>standard laborato</w:t>
      </w:r>
      <w:r w:rsidRPr="00114C85">
        <w:t>ry equipped with appropriate instruments and equipment, reference materials, consumables; cleaning, decontamination and/or disinfection agents and equipment; and personal protective equipment (PPE)</w:t>
      </w:r>
    </w:p>
    <w:p w:rsidR="00000000" w:rsidRPr="00114C85" w:rsidP="00114C85">
      <w:pPr>
        <w:pStyle w:val="ListBullet2"/>
      </w:pPr>
      <w:r w:rsidRPr="00114C85">
        <w:t>workplace procedures, calibration and maintenance schedule</w:t>
      </w:r>
      <w:r w:rsidRPr="00114C85">
        <w:t>s, equipment manuals, supplier catalogues and information/records management system.</w:t>
      </w:r>
    </w:p>
    <w:p w:rsidR="00000000" w:rsidRPr="00114C85" w:rsidP="00114C85">
      <w:pPr>
        <w:pStyle w:val="ListBullet"/>
      </w:pPr>
      <w:r w:rsidRPr="00114C85">
        <w:t xml:space="preserve">Assessors must satisfy the assessor competency requirements that are in place at the time of the assessment as set by the VET regulator.  </w:t>
      </w:r>
    </w:p>
    <w:p w:rsidR="00000000" w:rsidRPr="00114C85" w:rsidP="00114C85">
      <w:pPr>
        <w:pStyle w:val="ListBullet"/>
      </w:pPr>
      <w:r w:rsidRPr="00114C85">
        <w:t>The assessor must demonstrate b</w:t>
      </w:r>
      <w:r w:rsidRPr="00114C85">
        <w:t>oth technical competence and currency.</w:t>
      </w:r>
    </w:p>
    <w:p w:rsidR="00000000" w:rsidRPr="00114C85" w:rsidP="00114C85">
      <w:pPr>
        <w:pStyle w:val="ListBullet"/>
      </w:pPr>
      <w:r w:rsidRPr="00114C85">
        <w:t>Technical competence can be demonstrated through:</w:t>
      </w:r>
    </w:p>
    <w:p w:rsidR="00000000" w:rsidRPr="00114C85" w:rsidP="00114C85">
      <w:pPr>
        <w:pStyle w:val="ListBullet2"/>
      </w:pPr>
      <w:r w:rsidRPr="00114C85">
        <w:t>relevant VET or other qualification/Statement of Attainment AND/OR</w:t>
      </w:r>
    </w:p>
    <w:p w:rsidR="00000000" w:rsidRPr="00114C85" w:rsidP="00114C85">
      <w:pPr>
        <w:pStyle w:val="ListBullet2"/>
      </w:pPr>
      <w:r w:rsidRPr="00114C85">
        <w:t>relevant workplace experience.</w:t>
      </w:r>
    </w:p>
    <w:p w:rsidR="00000000" w:rsidRPr="00114C85" w:rsidP="00114C85">
      <w:pPr>
        <w:pStyle w:val="ListBullet"/>
      </w:pPr>
      <w:r w:rsidRPr="00114C85">
        <w:t>Currency can be demonstrated through:</w:t>
      </w:r>
    </w:p>
    <w:p w:rsidR="00000000" w:rsidRPr="00114C85" w:rsidP="00114C85">
      <w:pPr>
        <w:pStyle w:val="ListBullet2"/>
      </w:pPr>
      <w:r w:rsidRPr="00114C85">
        <w:t>performing the competency being assessed as part of current employment OR</w:t>
      </w:r>
    </w:p>
    <w:p w:rsidR="00000000" w:rsidRPr="00114C85" w:rsidP="00114C85">
      <w:pPr>
        <w:pStyle w:val="ListBullet2"/>
      </w:pPr>
      <w:r w:rsidRPr="00114C85">
        <w:t>having consulted with a laboratory about performing the competency being assessed within the last twelve months.</w:t>
      </w:r>
    </w:p>
    <w:p w:rsidR="00000000" w:rsidRPr="00114C85" w:rsidP="00114C85">
      <w:pPr>
        <w:pStyle w:val="AllowPageBreak"/>
      </w:pPr>
    </w:p>
    <w:p w:rsidR="00000000" w:rsidRPr="00114C85" w:rsidP="00114C85">
      <w:pPr>
        <w:pStyle w:val="Heading1"/>
      </w:pPr>
      <w:bookmarkStart w:id="5" w:name="O_902346"/>
      <w:bookmarkEnd w:id="5"/>
      <w:r w:rsidRPr="00114C85">
        <w:t>Links</w:t>
      </w:r>
    </w:p>
    <w:p w:rsidR="00000000" w:rsidRPr="00114C85" w:rsidP="00114C85">
      <w:pPr>
        <w:pStyle w:val="BodyText"/>
      </w:pPr>
      <w:r w:rsidRPr="00114C85">
        <w:t>MSA Training Package Implementation Guides - h</w:t>
      </w:r>
      <w:r w:rsidRPr="00114C85">
        <w:t>ttp://mskills.org.au/training-packages/info/</w:t>
      </w:r>
    </w:p>
    <w:p w:rsidR="00000000" w:rsidRPr="00114C85" w:rsidP="00114C85"/>
    <w:sectPr w:rsidSect="00114C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5" w:rsidRPr="0026087F" w:rsidP="00260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7F" w:rsidP="00114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87F" w:rsidP="00114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6087F" w:rsidP="00114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5" w:rsidRPr="0026087F" w:rsidP="002608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7F" w:rsidRPr="002D2AF8" w:rsidP="00114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MSL935004 Maintain instruments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6087F" w:rsidP="00114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2E3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E7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E9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C85"/>
  </w:style>
  <w:style w:type="character" w:customStyle="1" w:styleId="Heading1Char">
    <w:name w:val="Heading 1 Char"/>
    <w:basedOn w:val="DefaultParagraphFont"/>
    <w:link w:val="Heading1"/>
    <w:rsid w:val="00114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C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C8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C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C85"/>
    <w:rPr>
      <w:b/>
      <w:spacing w:val="0"/>
    </w:rPr>
  </w:style>
  <w:style w:type="paragraph" w:customStyle="1" w:styleId="SuperTitle">
    <w:name w:val="SuperTitle"/>
    <w:basedOn w:val="Title"/>
    <w:rsid w:val="00114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C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C85"/>
    <w:rPr>
      <w:i/>
    </w:rPr>
  </w:style>
  <w:style w:type="paragraph" w:styleId="Caption">
    <w:name w:val="caption"/>
    <w:basedOn w:val="BodyText"/>
    <w:next w:val="Normal"/>
    <w:qFormat/>
    <w:rsid w:val="00114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C85"/>
  </w:style>
  <w:style w:type="paragraph" w:styleId="TableofFigures">
    <w:name w:val="table of figures"/>
    <w:basedOn w:val="Normal"/>
    <w:next w:val="Normal"/>
    <w:semiHidden/>
    <w:rsid w:val="00114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C85"/>
    <w:pPr>
      <w:numPr>
        <w:numId w:val="11"/>
      </w:numPr>
    </w:pPr>
  </w:style>
  <w:style w:type="character" w:customStyle="1" w:styleId="WingdingSymbols">
    <w:name w:val="Wingding Symbols"/>
    <w:rsid w:val="00114C85"/>
    <w:rPr>
      <w:rFonts w:ascii="Wingdings" w:hAnsi="Wingdings"/>
    </w:rPr>
  </w:style>
  <w:style w:type="paragraph" w:customStyle="1" w:styleId="TableHeading">
    <w:name w:val="Table Heading"/>
    <w:basedOn w:val="HeadingBase"/>
    <w:rsid w:val="00114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C85"/>
    <w:rPr>
      <w:color w:val="0033CC"/>
      <w:u w:val="none"/>
    </w:rPr>
  </w:style>
  <w:style w:type="paragraph" w:customStyle="1" w:styleId="BodyTextRight">
    <w:name w:val="Body Text Right"/>
    <w:basedOn w:val="BodyText"/>
    <w:rsid w:val="00114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C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C85"/>
    <w:rPr>
      <w:sz w:val="32"/>
    </w:rPr>
  </w:style>
  <w:style w:type="paragraph" w:customStyle="1" w:styleId="HeadingProcedure">
    <w:name w:val="Heading Procedure"/>
    <w:basedOn w:val="HeadingBase"/>
    <w:next w:val="Normal"/>
    <w:rsid w:val="00114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C85"/>
    <w:pPr>
      <w:spacing w:before="60" w:after="60"/>
    </w:pPr>
  </w:style>
  <w:style w:type="paragraph" w:styleId="ListContinue">
    <w:name w:val="List Continue"/>
    <w:basedOn w:val="List"/>
    <w:rsid w:val="00114C85"/>
    <w:pPr>
      <w:ind w:firstLine="0"/>
    </w:pPr>
  </w:style>
  <w:style w:type="paragraph" w:customStyle="1" w:styleId="ListNote">
    <w:name w:val="List Note"/>
    <w:basedOn w:val="List"/>
    <w:rsid w:val="00114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C85"/>
    <w:rPr>
      <w:rFonts w:ascii="Courier New" w:hAnsi="Courier New"/>
    </w:rPr>
  </w:style>
  <w:style w:type="paragraph" w:customStyle="1" w:styleId="NoteBullet">
    <w:name w:val="Note Bullet"/>
    <w:basedOn w:val="Note"/>
    <w:rsid w:val="00114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C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4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C85"/>
    <w:rPr>
      <w:b/>
      <w:smallCaps/>
    </w:rPr>
  </w:style>
  <w:style w:type="paragraph" w:customStyle="1" w:styleId="TableListNumber">
    <w:name w:val="Table List Number"/>
    <w:basedOn w:val="ListNumber"/>
    <w:rsid w:val="00114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C85"/>
    <w:pPr>
      <w:numPr>
        <w:numId w:val="9"/>
      </w:numPr>
    </w:pPr>
  </w:style>
  <w:style w:type="paragraph" w:customStyle="1" w:styleId="ListAlpha2">
    <w:name w:val="List Alpha 2"/>
    <w:basedOn w:val="List2"/>
    <w:rsid w:val="00114C85"/>
    <w:pPr>
      <w:numPr>
        <w:numId w:val="8"/>
      </w:numPr>
    </w:pPr>
  </w:style>
  <w:style w:type="paragraph" w:styleId="List2">
    <w:name w:val="List 2"/>
    <w:basedOn w:val="BodyText"/>
    <w:rsid w:val="00114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C8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C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C85"/>
    <w:pPr>
      <w:numPr>
        <w:numId w:val="4"/>
      </w:numPr>
    </w:pPr>
  </w:style>
  <w:style w:type="paragraph" w:styleId="ListContinue2">
    <w:name w:val="List Continue 2"/>
    <w:basedOn w:val="List2"/>
    <w:rsid w:val="00114C85"/>
    <w:pPr>
      <w:ind w:firstLine="0"/>
    </w:pPr>
  </w:style>
  <w:style w:type="paragraph" w:styleId="ListContinue3">
    <w:name w:val="List Continue 3"/>
    <w:basedOn w:val="List3"/>
    <w:rsid w:val="00114C85"/>
    <w:pPr>
      <w:ind w:left="1021" w:firstLine="0"/>
    </w:pPr>
  </w:style>
  <w:style w:type="paragraph" w:styleId="ListContinue4">
    <w:name w:val="List Continue 4"/>
    <w:basedOn w:val="List4"/>
    <w:rsid w:val="00114C85"/>
    <w:pPr>
      <w:ind w:firstLine="0"/>
    </w:pPr>
  </w:style>
  <w:style w:type="paragraph" w:styleId="ListContinue5">
    <w:name w:val="List Continue 5"/>
    <w:basedOn w:val="List5"/>
    <w:rsid w:val="00114C85"/>
    <w:pPr>
      <w:ind w:firstLine="0"/>
    </w:pPr>
  </w:style>
  <w:style w:type="paragraph" w:styleId="ListNumber3">
    <w:name w:val="List Number 3"/>
    <w:basedOn w:val="List3"/>
    <w:rsid w:val="00114C85"/>
    <w:pPr>
      <w:numPr>
        <w:numId w:val="5"/>
      </w:numPr>
    </w:pPr>
  </w:style>
  <w:style w:type="paragraph" w:styleId="ListNumber4">
    <w:name w:val="List Number 4"/>
    <w:basedOn w:val="List4"/>
    <w:rsid w:val="00114C85"/>
    <w:pPr>
      <w:numPr>
        <w:numId w:val="6"/>
      </w:numPr>
    </w:pPr>
  </w:style>
  <w:style w:type="paragraph" w:styleId="ListNumber5">
    <w:name w:val="List Number 5"/>
    <w:basedOn w:val="List5"/>
    <w:rsid w:val="00114C85"/>
    <w:pPr>
      <w:numPr>
        <w:numId w:val="7"/>
      </w:numPr>
    </w:pPr>
  </w:style>
  <w:style w:type="paragraph" w:styleId="BlockText">
    <w:name w:val="Block Text"/>
    <w:basedOn w:val="Normal"/>
    <w:rsid w:val="00114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C85"/>
    <w:rPr>
      <w:sz w:val="16"/>
      <w:vertAlign w:val="superscript"/>
    </w:rPr>
  </w:style>
  <w:style w:type="character" w:customStyle="1" w:styleId="Symbols">
    <w:name w:val="Symbols"/>
    <w:basedOn w:val="DefaultParagraphFont"/>
    <w:rsid w:val="00114C85"/>
    <w:rPr>
      <w:rFonts w:ascii="Symbol" w:hAnsi="Symbol"/>
    </w:rPr>
  </w:style>
  <w:style w:type="character" w:customStyle="1" w:styleId="MenuOptions">
    <w:name w:val="Menu Options"/>
    <w:basedOn w:val="DefaultParagraphFont"/>
    <w:rsid w:val="00114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C85"/>
    <w:rPr>
      <w:b/>
    </w:rPr>
  </w:style>
  <w:style w:type="character" w:customStyle="1" w:styleId="Underlined">
    <w:name w:val="Underlined"/>
    <w:basedOn w:val="DefaultParagraphFont"/>
    <w:rsid w:val="00114C85"/>
    <w:rPr>
      <w:u w:val="single"/>
    </w:rPr>
  </w:style>
  <w:style w:type="paragraph" w:customStyle="1" w:styleId="TableBodyTextRight">
    <w:name w:val="Table Body Text Right"/>
    <w:basedOn w:val="TableBodyText"/>
    <w:rsid w:val="00114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C85"/>
    <w:rPr>
      <w:sz w:val="18"/>
    </w:rPr>
  </w:style>
  <w:style w:type="paragraph" w:customStyle="1" w:styleId="BodySmallRight">
    <w:name w:val="Body Small Right"/>
    <w:basedOn w:val="BodyTextRight"/>
    <w:rsid w:val="00114C85"/>
    <w:rPr>
      <w:sz w:val="18"/>
      <w:szCs w:val="18"/>
    </w:rPr>
  </w:style>
  <w:style w:type="paragraph" w:customStyle="1" w:styleId="MarginEdition">
    <w:name w:val="Margin Edition"/>
    <w:basedOn w:val="MarginNote"/>
    <w:rsid w:val="00114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C85"/>
    <w:rPr>
      <w:sz w:val="2"/>
      <w:szCs w:val="2"/>
    </w:rPr>
  </w:style>
  <w:style w:type="character" w:customStyle="1" w:styleId="Small">
    <w:name w:val="Small"/>
    <w:basedOn w:val="DefaultParagraphFont"/>
    <w:rsid w:val="00114C85"/>
    <w:rPr>
      <w:sz w:val="16"/>
    </w:rPr>
  </w:style>
  <w:style w:type="paragraph" w:customStyle="1" w:styleId="WideTable">
    <w:name w:val="Wide Table"/>
    <w:basedOn w:val="Normal"/>
    <w:rsid w:val="00114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C85"/>
  </w:style>
  <w:style w:type="paragraph" w:styleId="Quote">
    <w:name w:val="Quote"/>
    <w:basedOn w:val="Heading1"/>
    <w:link w:val="QuoteChar"/>
    <w:qFormat/>
    <w:rsid w:val="00114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C85"/>
    <w:pPr>
      <w:pageBreakBefore/>
    </w:pPr>
  </w:style>
  <w:style w:type="paragraph" w:customStyle="1" w:styleId="Border">
    <w:name w:val="Border"/>
    <w:basedOn w:val="Normal"/>
    <w:qFormat/>
    <w:rsid w:val="00114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C85"/>
    <w:rPr>
      <w:u w:val="single"/>
    </w:rPr>
  </w:style>
  <w:style w:type="character" w:customStyle="1" w:styleId="BoldandItalics">
    <w:name w:val="Bold and Italics"/>
    <w:qFormat/>
    <w:rsid w:val="00114C85"/>
    <w:rPr>
      <w:b/>
      <w:i/>
      <w:u w:val="none"/>
    </w:rPr>
  </w:style>
  <w:style w:type="paragraph" w:styleId="BalloonText">
    <w:name w:val="Balloon Text"/>
    <w:basedOn w:val="Normal"/>
    <w:link w:val="BalloonTextChar"/>
    <w:rsid w:val="00114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C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C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4440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MSL935004 Maintain instruments and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2016-06-22T08:50:00Z</dcterms:created>
  <dcterms:modified xsi:type="dcterms:W3CDTF">2016-06-22T08:50:00Z</dcterms:modified>
</cp:coreProperties>
</file>