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E5C" w:rsidP="008B4E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MSL935003 Authorise the issue of test results</w:t>
      </w:r>
      <w:r>
        <w:fldChar w:fldCharType="end"/>
      </w:r>
    </w:p>
    <w:p w:rsidR="008B4E5C" w:rsidP="008B4E5C">
      <w:pPr>
        <w:pStyle w:val="Version"/>
        <w:sectPr w:rsidSect="00AE59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59E0" w:rsidP="00AE59E0">
      <w:pPr>
        <w:pStyle w:val="SuperHeading"/>
      </w:pPr>
      <w:r w:rsidRPr="00AE59E0">
        <w:t>Assessment Requirements for MSL935003 Authorise the issue of test results</w:t>
      </w:r>
    </w:p>
    <w:p w:rsidR="00000000" w:rsidRPr="00AE59E0" w:rsidP="00AE59E0">
      <w:pPr>
        <w:pStyle w:val="Heading1"/>
      </w:pPr>
      <w:bookmarkStart w:id="1" w:name="O_902328"/>
      <w:bookmarkEnd w:id="1"/>
      <w:r w:rsidRPr="00AE59E0">
        <w:t>Modification History</w:t>
      </w:r>
    </w:p>
    <w:p w:rsidR="00000000" w:rsidRPr="00AE59E0" w:rsidP="00AE59E0">
      <w:pPr>
        <w:pStyle w:val="BodyText"/>
      </w:pPr>
      <w:r w:rsidRPr="00AE59E0">
        <w:t>Release 1. Supersedes and is equivalent to MSL935003A Authorise the issue of test results</w:t>
      </w:r>
    </w:p>
    <w:p w:rsidR="00000000" w:rsidRPr="00AE59E0" w:rsidP="00AE59E0">
      <w:pPr>
        <w:pStyle w:val="AllowPageBreak"/>
      </w:pPr>
    </w:p>
    <w:p w:rsidR="00000000" w:rsidRPr="00AE59E0" w:rsidP="00AE59E0">
      <w:pPr>
        <w:pStyle w:val="Heading1"/>
      </w:pPr>
      <w:bookmarkStart w:id="2" w:name="O_902331"/>
      <w:bookmarkEnd w:id="2"/>
      <w:r w:rsidRPr="00AE59E0">
        <w:t>Performance Evidence</w:t>
      </w:r>
    </w:p>
    <w:p w:rsidR="00000000" w:rsidRPr="00AE59E0" w:rsidP="00AE59E0">
      <w:pPr>
        <w:pStyle w:val="BodyText"/>
      </w:pPr>
      <w:r w:rsidRPr="00AE59E0">
        <w:t>Evidence of competence in this unit must satisfy all of the requirements of the elements and performance criteria, and include demonstration of:</w:t>
      </w:r>
    </w:p>
    <w:p w:rsidR="00000000" w:rsidRPr="00AE59E0" w:rsidP="00AE59E0">
      <w:pPr>
        <w:pStyle w:val="ListBullet"/>
      </w:pPr>
      <w:r w:rsidRPr="00AE59E0">
        <w:t>verifying the accuracy and completeness of at least one (1) set of data, results and technical records for spe</w:t>
      </w:r>
      <w:r w:rsidRPr="00AE59E0">
        <w:t>cified tests</w:t>
      </w:r>
    </w:p>
    <w:p w:rsidR="00000000" w:rsidRPr="00AE59E0" w:rsidP="00AE59E0">
      <w:pPr>
        <w:pStyle w:val="ListBullet"/>
      </w:pPr>
      <w:r w:rsidRPr="00AE59E0">
        <w:t>issuing at least one (1) set of specified test results in accordance with authorisation and workplace procedures</w:t>
      </w:r>
    </w:p>
    <w:p w:rsidR="00000000" w:rsidRPr="00AE59E0" w:rsidP="00AE59E0">
      <w:pPr>
        <w:pStyle w:val="ListBullet"/>
      </w:pPr>
      <w:r w:rsidRPr="00AE59E0">
        <w:t>reviewing at least one (1) set of records of sampling, sample preparation, testing and/or calibration activities to identify poten</w:t>
      </w:r>
      <w:r w:rsidRPr="00AE59E0">
        <w:t>tial causes of unacceptable data/results</w:t>
      </w:r>
    </w:p>
    <w:p w:rsidR="00000000" w:rsidRPr="00AE59E0" w:rsidP="00AE59E0">
      <w:pPr>
        <w:pStyle w:val="ListBullet"/>
      </w:pPr>
      <w:r w:rsidRPr="00AE59E0">
        <w:t>using statistical tests to estimate uncertainties and determine data acceptability</w:t>
      </w:r>
    </w:p>
    <w:p w:rsidR="00000000" w:rsidRPr="00AE59E0" w:rsidP="00AE59E0">
      <w:pPr>
        <w:pStyle w:val="ListBullet"/>
      </w:pPr>
      <w:r w:rsidRPr="00AE59E0">
        <w:t>recognising unexpected or unacceptable data and results and then investigating the occurrence in a logical and efficient manner usin</w:t>
      </w:r>
      <w:r w:rsidRPr="00AE59E0">
        <w:t>g effective problem-solving strategies</w:t>
      </w:r>
    </w:p>
    <w:p w:rsidR="00000000" w:rsidRPr="00AE59E0" w:rsidP="00AE59E0">
      <w:pPr>
        <w:pStyle w:val="ListBullet"/>
      </w:pPr>
      <w:r w:rsidRPr="00AE59E0">
        <w:t>rectifying results that are not consistent with expected values</w:t>
      </w:r>
    </w:p>
    <w:p w:rsidR="00000000" w:rsidRPr="00AE59E0" w:rsidP="00AE59E0">
      <w:pPr>
        <w:pStyle w:val="ListBullet"/>
      </w:pPr>
      <w:r w:rsidRPr="00AE59E0">
        <w:t>recommending appropriate preventative/corrective actions to control potential/actual non-conforming work</w:t>
      </w:r>
    </w:p>
    <w:p w:rsidR="00000000" w:rsidRPr="00AE59E0" w:rsidP="00AE59E0">
      <w:pPr>
        <w:pStyle w:val="ListBullet"/>
      </w:pPr>
      <w:r w:rsidRPr="00AE59E0">
        <w:t>explaining technical details of sampling, test m</w:t>
      </w:r>
      <w:r w:rsidRPr="00AE59E0">
        <w:t>ethods and results to clients</w:t>
      </w:r>
    </w:p>
    <w:p w:rsidR="00000000" w:rsidRPr="00AE59E0" w:rsidP="00AE59E0">
      <w:pPr>
        <w:pStyle w:val="ListBullet"/>
      </w:pPr>
      <w:r w:rsidRPr="00AE59E0">
        <w:t>maintaining a professional approach and positive company/organisation image, including maintaining independence and an ability to resist improper influences.</w:t>
      </w:r>
    </w:p>
    <w:p w:rsidR="00000000" w:rsidRPr="00AE59E0" w:rsidP="00AE59E0">
      <w:pPr>
        <w:pStyle w:val="AllowPageBreak"/>
      </w:pPr>
    </w:p>
    <w:p w:rsidR="00000000" w:rsidRPr="00AE59E0" w:rsidP="00AE59E0">
      <w:pPr>
        <w:pStyle w:val="Heading1"/>
      </w:pPr>
      <w:bookmarkStart w:id="3" w:name="O_902330"/>
      <w:bookmarkEnd w:id="3"/>
      <w:r w:rsidRPr="00AE59E0">
        <w:t>Knowledge Evidence</w:t>
      </w:r>
    </w:p>
    <w:p w:rsidR="00000000" w:rsidRPr="00AE59E0" w:rsidP="00AE59E0">
      <w:pPr>
        <w:pStyle w:val="BodyText"/>
      </w:pPr>
      <w:r w:rsidRPr="00AE59E0">
        <w:t>Must provide evidence that demon</w:t>
      </w:r>
      <w:r w:rsidRPr="00AE59E0">
        <w:t>strates knowledge of:</w:t>
      </w:r>
    </w:p>
    <w:p w:rsidR="00000000" w:rsidRPr="00AE59E0" w:rsidP="00AE59E0">
      <w:pPr>
        <w:pStyle w:val="ListBullet"/>
      </w:pPr>
      <w:r w:rsidRPr="00AE59E0">
        <w:t>workplace procedures for authorising the issue of specified test results</w:t>
      </w:r>
    </w:p>
    <w:p w:rsidR="00000000" w:rsidRPr="00AE59E0" w:rsidP="00AE59E0">
      <w:pPr>
        <w:pStyle w:val="ListBullet"/>
      </w:pPr>
      <w:r w:rsidRPr="00AE59E0">
        <w:t xml:space="preserve">relevant reporting requirements, such as the </w:t>
      </w:r>
      <w:r w:rsidRPr="00AE59E0">
        <w:rPr>
          <w:rStyle w:val="Emphasis"/>
        </w:rPr>
        <w:t>ISO Guide to the Expression of Uncertainty in Measurement</w:t>
      </w:r>
      <w:r w:rsidRPr="00AE59E0">
        <w:t>, National Association of Testing Authorities (NATA) and/o</w:t>
      </w:r>
      <w:r w:rsidRPr="00AE59E0">
        <w:t>r test methods</w:t>
      </w:r>
    </w:p>
    <w:p w:rsidR="00000000" w:rsidRPr="00AE59E0" w:rsidP="00AE59E0">
      <w:pPr>
        <w:pStyle w:val="ListBullet"/>
      </w:pPr>
      <w:r w:rsidRPr="00AE59E0">
        <w:t>the confidence level required according to the National Measurement Act 1960 (e.g. 95% for most applications, but it may be higher)</w:t>
      </w:r>
    </w:p>
    <w:p w:rsidR="00000000" w:rsidRPr="00AE59E0" w:rsidP="00AE59E0">
      <w:pPr>
        <w:pStyle w:val="ListBullet"/>
      </w:pPr>
      <w:r w:rsidRPr="00AE59E0">
        <w:t xml:space="preserve">scientific and technical knowledge of the samples, procedures, equipment, materials and instrumentation used </w:t>
      </w:r>
      <w:r w:rsidRPr="00AE59E0">
        <w:t>to generate the specified test results and data</w:t>
      </w:r>
    </w:p>
    <w:p w:rsidR="00000000" w:rsidRPr="00AE59E0" w:rsidP="00AE59E0">
      <w:pPr>
        <w:pStyle w:val="ListBullet"/>
      </w:pPr>
      <w:r w:rsidRPr="00AE59E0">
        <w:t>at least three (3) statistical tests used to estimate uncertainties and determine data acceptability</w:t>
      </w:r>
    </w:p>
    <w:p w:rsidR="00000000" w:rsidRPr="00AE59E0" w:rsidP="00AE59E0">
      <w:pPr>
        <w:pStyle w:val="ListBullet"/>
      </w:pPr>
      <w:r w:rsidRPr="00AE59E0">
        <w:t>expected values for data and results and the uncertainty components for specified test methods</w:t>
      </w:r>
    </w:p>
    <w:p w:rsidR="00000000" w:rsidRPr="00AE59E0" w:rsidP="00AE59E0">
      <w:pPr>
        <w:pStyle w:val="ListBullet"/>
      </w:pPr>
      <w:r w:rsidRPr="00AE59E0">
        <w:t>common sources of interference, human and environmental factors, sample preparation problems and relevant preventative/corrective actions associated with specified test results</w:t>
      </w:r>
    </w:p>
    <w:p w:rsidR="00000000" w:rsidRPr="00AE59E0" w:rsidP="00AE59E0">
      <w:pPr>
        <w:pStyle w:val="ListBullet"/>
      </w:pPr>
      <w:r w:rsidRPr="00AE59E0">
        <w:t>confidentiality requirements relevant to job role</w:t>
      </w:r>
    </w:p>
    <w:p w:rsidR="00000000" w:rsidRPr="00AE59E0" w:rsidP="00AE59E0">
      <w:pPr>
        <w:pStyle w:val="ListBullet"/>
      </w:pPr>
      <w:r w:rsidRPr="00AE59E0">
        <w:t xml:space="preserve">work health and safety (WHS) </w:t>
      </w:r>
      <w:r w:rsidRPr="00AE59E0">
        <w:t>and environmental management requirements relevant to job role.</w:t>
      </w:r>
    </w:p>
    <w:p w:rsidR="00000000" w:rsidRPr="00AE59E0" w:rsidP="00AE59E0">
      <w:pPr>
        <w:pStyle w:val="AllowPageBreak"/>
      </w:pPr>
    </w:p>
    <w:p w:rsidR="00000000" w:rsidRPr="00AE59E0" w:rsidP="00AE59E0">
      <w:pPr>
        <w:pStyle w:val="Heading1"/>
      </w:pPr>
      <w:bookmarkStart w:id="4" w:name="O_902329"/>
      <w:bookmarkEnd w:id="4"/>
      <w:r w:rsidRPr="00AE59E0">
        <w:t>Assessment Conditions</w:t>
      </w:r>
    </w:p>
    <w:p w:rsidR="00000000" w:rsidRPr="00AE59E0" w:rsidP="00AE59E0">
      <w:pPr>
        <w:pStyle w:val="ListBullet"/>
      </w:pPr>
      <w:r w:rsidRPr="00AE59E0">
        <w:t>Judgement of competence must be based on holistic assessment of the evidence. Assessment methods must confirm consistency of performance over time, rath</w:t>
      </w:r>
      <w:r w:rsidRPr="00AE59E0">
        <w:t xml:space="preserve">er than a single assessment event. </w:t>
      </w:r>
    </w:p>
    <w:p w:rsidR="00000000" w:rsidRPr="00AE59E0" w:rsidP="00AE59E0">
      <w:pPr>
        <w:pStyle w:val="ListBullet"/>
      </w:pPr>
      <w:r w:rsidRPr="00AE59E0">
        <w:t>This unit of competency is to be assessed in the workplace or a simulated workplace environment. A simulated workplace environment must reflect realistic operational workplace conditions that cover all aspects of workpla</w:t>
      </w:r>
      <w:r w:rsidRPr="00AE59E0">
        <w:t>ce performance, including the environment, task skills, task management skills, contingency management skills and job role environment skills.</w:t>
      </w:r>
    </w:p>
    <w:p w:rsidR="00000000" w:rsidRPr="00AE59E0" w:rsidP="00AE59E0">
      <w:pPr>
        <w:pStyle w:val="ListBullet"/>
      </w:pPr>
      <w:r w:rsidRPr="00AE59E0">
        <w:t xml:space="preserve">Foundation skills are integral to competent performance of the unit and should not be assessed separately. </w:t>
      </w:r>
    </w:p>
    <w:p w:rsidR="00000000" w:rsidRPr="00AE59E0" w:rsidP="00AE59E0">
      <w:pPr>
        <w:pStyle w:val="ListBullet"/>
      </w:pPr>
      <w:r w:rsidRPr="00AE59E0">
        <w:t>Asses</w:t>
      </w:r>
      <w:r w:rsidRPr="00AE59E0">
        <w:t>sment processes and techniques must be appropriate to the language, literacy and numeracy requirements of the work being performed and the needs of the candidate.</w:t>
      </w:r>
    </w:p>
    <w:p w:rsidR="00000000" w:rsidRPr="00AE59E0" w:rsidP="00AE59E0">
      <w:pPr>
        <w:pStyle w:val="ListBullet"/>
      </w:pPr>
      <w:r w:rsidRPr="00AE59E0">
        <w:t>Knowledge evidence may be collected concurrently with performance evidence or through an inde</w:t>
      </w:r>
      <w:r w:rsidRPr="00AE59E0">
        <w:t>pendent process, such as workbooks, written assessments or interviews (provided a record is kept in each case).</w:t>
      </w:r>
    </w:p>
    <w:p w:rsidR="00000000" w:rsidRPr="00AE59E0" w:rsidP="00AE59E0">
      <w:pPr>
        <w:pStyle w:val="ListBullet"/>
      </w:pPr>
      <w:r w:rsidRPr="00AE59E0">
        <w:t xml:space="preserve">This unit of competency may be assessed with: </w:t>
      </w:r>
    </w:p>
    <w:p w:rsidR="00000000" w:rsidRPr="00AE59E0" w:rsidP="00AE59E0">
      <w:pPr>
        <w:pStyle w:val="ListBullet2"/>
      </w:pPr>
      <w:r w:rsidRPr="00AE59E0">
        <w:t>MSL935001 Monitor the quality of test results and data</w:t>
      </w:r>
    </w:p>
    <w:p w:rsidR="00000000" w:rsidRPr="00AE59E0" w:rsidP="00AE59E0">
      <w:pPr>
        <w:pStyle w:val="ListBullet2"/>
      </w:pPr>
      <w:r w:rsidRPr="00AE59E0">
        <w:t>relevant MSL974000 and MSL975000 series units of competency that cover the ability to perform the tests involved, relevant data analysis and quality assurance procedures.</w:t>
      </w:r>
    </w:p>
    <w:p w:rsidR="00000000" w:rsidRPr="00AE59E0" w:rsidP="00AE59E0">
      <w:pPr>
        <w:pStyle w:val="ListBullet"/>
      </w:pPr>
      <w:r w:rsidRPr="00AE59E0">
        <w:t xml:space="preserve">Holistic assessment methods include: </w:t>
      </w:r>
    </w:p>
    <w:p w:rsidR="00000000" w:rsidRPr="00AE59E0" w:rsidP="00AE59E0">
      <w:pPr>
        <w:pStyle w:val="ListBullet2"/>
      </w:pPr>
      <w:r w:rsidRPr="00AE59E0">
        <w:t>review of records and test results verified a</w:t>
      </w:r>
      <w:r w:rsidRPr="00AE59E0">
        <w:t>nd issued by the candidate</w:t>
      </w:r>
    </w:p>
    <w:p w:rsidR="00000000" w:rsidRPr="00AE59E0" w:rsidP="00AE59E0">
      <w:pPr>
        <w:pStyle w:val="ListBullet2"/>
      </w:pPr>
      <w:r w:rsidRPr="00AE59E0">
        <w:t>feedback from supervisors and clients regarding the candidate's ability to issue authorised test results</w:t>
      </w:r>
    </w:p>
    <w:p w:rsidR="00000000" w:rsidRPr="00AE59E0" w:rsidP="00AE59E0">
      <w:pPr>
        <w:pStyle w:val="ListBullet2"/>
      </w:pPr>
      <w:r w:rsidRPr="00AE59E0">
        <w:t>review of recommendations and reports prepared by the candidate</w:t>
      </w:r>
    </w:p>
    <w:p w:rsidR="00000000" w:rsidRPr="00AE59E0" w:rsidP="00AE59E0">
      <w:pPr>
        <w:pStyle w:val="ListBullet2"/>
      </w:pPr>
      <w:r w:rsidRPr="00AE59E0">
        <w:t>questions to assess understanding of procedures governing th</w:t>
      </w:r>
      <w:r w:rsidRPr="00AE59E0">
        <w:t>e authorised issue of test results, acceptability of data/results, sources of uncertainty and preventative/corrective actions.</w:t>
      </w:r>
    </w:p>
    <w:p w:rsidR="00000000" w:rsidRPr="00AE59E0" w:rsidP="00AE59E0">
      <w:pPr>
        <w:pStyle w:val="ListBullet"/>
      </w:pPr>
      <w:r w:rsidRPr="00AE59E0">
        <w:t xml:space="preserve">Access is required to instruments, equipment, materials, workplace documentation, procedures and specifications associated with </w:t>
      </w:r>
      <w:r w:rsidRPr="00AE59E0">
        <w:t>this unit, including, but not limited to:</w:t>
      </w:r>
    </w:p>
    <w:p w:rsidR="00000000" w:rsidRPr="00AE59E0" w:rsidP="00AE59E0">
      <w:pPr>
        <w:pStyle w:val="ListBullet2"/>
      </w:pPr>
      <w:r w:rsidRPr="00AE59E0">
        <w:t>sampling and test methods, description of test set-up, data sets, results and technical records</w:t>
      </w:r>
    </w:p>
    <w:p w:rsidR="00000000" w:rsidRPr="00AE59E0" w:rsidP="00AE59E0">
      <w:pPr>
        <w:pStyle w:val="ListBullet2"/>
      </w:pPr>
      <w:r w:rsidRPr="00AE59E0">
        <w:t>calculator</w:t>
      </w:r>
    </w:p>
    <w:p w:rsidR="00000000" w:rsidRPr="00AE59E0" w:rsidP="00AE59E0">
      <w:pPr>
        <w:pStyle w:val="ListBullet2"/>
      </w:pPr>
      <w:r w:rsidRPr="00AE59E0">
        <w:t>spreadsheets and databases</w:t>
      </w:r>
    </w:p>
    <w:p w:rsidR="00000000" w:rsidRPr="00AE59E0" w:rsidP="00AE59E0">
      <w:pPr>
        <w:pStyle w:val="ListBullet2"/>
      </w:pPr>
      <w:r w:rsidRPr="00AE59E0">
        <w:t>computer, relevant software or laboratory information system</w:t>
      </w:r>
    </w:p>
    <w:p w:rsidR="00000000" w:rsidRPr="00AE59E0" w:rsidP="00AE59E0">
      <w:pPr>
        <w:pStyle w:val="ListBullet2"/>
      </w:pPr>
      <w:r w:rsidRPr="00AE59E0">
        <w:t xml:space="preserve">workplace quality </w:t>
      </w:r>
      <w:r w:rsidRPr="00AE59E0">
        <w:t>procedures.</w:t>
      </w:r>
    </w:p>
    <w:p w:rsidR="00000000" w:rsidRPr="00AE59E0" w:rsidP="00AE59E0">
      <w:pPr>
        <w:pStyle w:val="ListBullet"/>
      </w:pPr>
      <w:r w:rsidRPr="00AE59E0">
        <w:t xml:space="preserve">Assessors must satisfy the assessor competency requirements that are in place at the time of the assessment as set by the VET regulator.  </w:t>
      </w:r>
    </w:p>
    <w:p w:rsidR="00000000" w:rsidRPr="00AE59E0" w:rsidP="00AE59E0">
      <w:pPr>
        <w:pStyle w:val="ListBullet"/>
      </w:pPr>
      <w:r w:rsidRPr="00AE59E0">
        <w:t>The assessor must demonstrate both technical competence and currency.</w:t>
      </w:r>
    </w:p>
    <w:p w:rsidR="00000000" w:rsidRPr="00AE59E0" w:rsidP="00AE59E0">
      <w:pPr>
        <w:pStyle w:val="ListBullet"/>
      </w:pPr>
      <w:r w:rsidRPr="00AE59E0">
        <w:t>Technical competence can be demons</w:t>
      </w:r>
      <w:r w:rsidRPr="00AE59E0">
        <w:t>trated through:</w:t>
      </w:r>
    </w:p>
    <w:p w:rsidR="00000000" w:rsidRPr="00AE59E0" w:rsidP="00AE59E0">
      <w:pPr>
        <w:pStyle w:val="ListBullet2"/>
      </w:pPr>
      <w:r w:rsidRPr="00AE59E0">
        <w:t>relevant VET or other qualification/Statement of Attainment AND/OR</w:t>
      </w:r>
    </w:p>
    <w:p w:rsidR="00000000" w:rsidRPr="00AE59E0" w:rsidP="00AE59E0">
      <w:pPr>
        <w:pStyle w:val="ListBullet2"/>
      </w:pPr>
      <w:r w:rsidRPr="00AE59E0">
        <w:t>relevant workplace experience.</w:t>
      </w:r>
    </w:p>
    <w:p w:rsidR="00000000" w:rsidRPr="00AE59E0" w:rsidP="00AE59E0">
      <w:pPr>
        <w:pStyle w:val="ListBullet"/>
      </w:pPr>
      <w:r w:rsidRPr="00AE59E0">
        <w:t>Currency can be demonstrated through:</w:t>
      </w:r>
    </w:p>
    <w:p w:rsidR="00000000" w:rsidRPr="00AE59E0" w:rsidP="00AE59E0">
      <w:pPr>
        <w:pStyle w:val="ListBullet2"/>
      </w:pPr>
      <w:r w:rsidRPr="00AE59E0">
        <w:t>performing the competency being assessed as part of current employment OR</w:t>
      </w:r>
    </w:p>
    <w:p w:rsidR="00000000" w:rsidRPr="00AE59E0" w:rsidP="00AE59E0">
      <w:pPr>
        <w:pStyle w:val="ListBullet2"/>
      </w:pPr>
      <w:r w:rsidRPr="00AE59E0">
        <w:t>having consulted with a laboratory about performing the competency being assessed within the last twelve months.</w:t>
      </w:r>
    </w:p>
    <w:p w:rsidR="00000000" w:rsidRPr="00AE59E0" w:rsidP="00AE59E0">
      <w:pPr>
        <w:pStyle w:val="AllowPageBreak"/>
      </w:pPr>
    </w:p>
    <w:p w:rsidR="00000000" w:rsidRPr="00AE59E0" w:rsidP="00AE59E0">
      <w:pPr>
        <w:pStyle w:val="Heading1"/>
      </w:pPr>
      <w:bookmarkStart w:id="5" w:name="O_902327"/>
      <w:bookmarkEnd w:id="5"/>
      <w:r w:rsidRPr="00AE59E0">
        <w:t>Links</w:t>
      </w:r>
    </w:p>
    <w:p w:rsidR="00000000" w:rsidRPr="00AE59E0" w:rsidP="00AE59E0">
      <w:pPr>
        <w:pStyle w:val="BodyText"/>
      </w:pPr>
      <w:r w:rsidRPr="00AE59E0">
        <w:t>Companion Volume implementation guides are found in VETNet - https://vetnet.education.gov.au/Pages/TrainingDocs.aspx?q=5</w:t>
      </w:r>
      <w:r w:rsidRPr="00AE59E0">
        <w:t>c63a03b-4a6b-4ae5-9560-1e3c5f462baa</w:t>
      </w:r>
    </w:p>
    <w:p w:rsidR="00000000" w:rsidRPr="00AE59E0" w:rsidP="00AE59E0"/>
    <w:sectPr w:rsidSect="00AE59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9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9E0" w:rsidRPr="008B4E5C" w:rsidP="008B4E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9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E5C" w:rsidP="00AE59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4E5C" w:rsidP="00AE59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4E5C" w:rsidP="00AE59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9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E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59E0" w:rsidRPr="008B4E5C" w:rsidP="008B4E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9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E5C" w:rsidRPr="002D2AF8" w:rsidP="00AE59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MSL935003 Authorise the issue of test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February 2018</w:t>
    </w:r>
    <w:r>
      <w:fldChar w:fldCharType="end"/>
    </w:r>
  </w:p>
  <w:p w:rsidR="008B4E5C" w:rsidP="00AE59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308E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302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FC89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9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59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59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59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59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59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59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59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59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59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59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59E0"/>
  </w:style>
  <w:style w:type="character" w:customStyle="1" w:styleId="Heading1Char">
    <w:name w:val="Heading 1 Char"/>
    <w:basedOn w:val="DefaultParagraphFont"/>
    <w:link w:val="Heading1"/>
    <w:rsid w:val="00AE59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59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59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59E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59E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59E0"/>
    <w:rPr>
      <w:i/>
    </w:rPr>
  </w:style>
  <w:style w:type="paragraph" w:customStyle="1" w:styleId="SuperHeading">
    <w:name w:val="SuperHeading"/>
    <w:basedOn w:val="Normal"/>
    <w:rsid w:val="00AE59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59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59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59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59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59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59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59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59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59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59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59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59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59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59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59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59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59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59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59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59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59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59E0"/>
    <w:rPr>
      <w:b/>
      <w:spacing w:val="0"/>
    </w:rPr>
  </w:style>
  <w:style w:type="paragraph" w:customStyle="1" w:styleId="SuperTitle">
    <w:name w:val="SuperTitle"/>
    <w:basedOn w:val="Title"/>
    <w:rsid w:val="00AE59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59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59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59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59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59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59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59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59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59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59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59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59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59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59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59E0"/>
  </w:style>
  <w:style w:type="paragraph" w:styleId="TableofFigures">
    <w:name w:val="table of figures"/>
    <w:basedOn w:val="Normal"/>
    <w:next w:val="Normal"/>
    <w:semiHidden/>
    <w:rsid w:val="00AE59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59E0"/>
    <w:pPr>
      <w:numPr>
        <w:numId w:val="11"/>
      </w:numPr>
    </w:pPr>
  </w:style>
  <w:style w:type="character" w:customStyle="1" w:styleId="WingdingSymbols">
    <w:name w:val="Wingding Symbols"/>
    <w:rsid w:val="00AE59E0"/>
    <w:rPr>
      <w:rFonts w:ascii="Wingdings" w:hAnsi="Wingdings"/>
    </w:rPr>
  </w:style>
  <w:style w:type="paragraph" w:customStyle="1" w:styleId="TableHeading">
    <w:name w:val="Table Heading"/>
    <w:basedOn w:val="HeadingBase"/>
    <w:rsid w:val="00AE59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59E0"/>
    <w:rPr>
      <w:color w:val="0033CC"/>
      <w:u w:val="none"/>
    </w:rPr>
  </w:style>
  <w:style w:type="paragraph" w:customStyle="1" w:styleId="BodyTextRight">
    <w:name w:val="Body Text Right"/>
    <w:basedOn w:val="BodyText"/>
    <w:rsid w:val="00AE59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59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59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59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59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59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59E0"/>
    <w:rPr>
      <w:sz w:val="32"/>
    </w:rPr>
  </w:style>
  <w:style w:type="paragraph" w:customStyle="1" w:styleId="HeadingProcedure">
    <w:name w:val="Heading Procedure"/>
    <w:basedOn w:val="HeadingBase"/>
    <w:next w:val="Normal"/>
    <w:rsid w:val="00AE59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59E0"/>
    <w:pPr>
      <w:spacing w:before="60" w:after="60"/>
    </w:pPr>
  </w:style>
  <w:style w:type="paragraph" w:styleId="ListContinue">
    <w:name w:val="List Continue"/>
    <w:basedOn w:val="List"/>
    <w:rsid w:val="00AE59E0"/>
    <w:pPr>
      <w:ind w:firstLine="0"/>
    </w:pPr>
  </w:style>
  <w:style w:type="paragraph" w:customStyle="1" w:styleId="ListNote">
    <w:name w:val="List Note"/>
    <w:basedOn w:val="List"/>
    <w:rsid w:val="00AE59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59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59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59E0"/>
    <w:rPr>
      <w:rFonts w:ascii="Courier New" w:hAnsi="Courier New"/>
    </w:rPr>
  </w:style>
  <w:style w:type="paragraph" w:customStyle="1" w:styleId="NoteBullet">
    <w:name w:val="Note Bullet"/>
    <w:basedOn w:val="Note"/>
    <w:rsid w:val="00AE59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59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59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59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59E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59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59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59E0"/>
    <w:rPr>
      <w:b/>
      <w:smallCaps/>
    </w:rPr>
  </w:style>
  <w:style w:type="paragraph" w:customStyle="1" w:styleId="TableListNumber">
    <w:name w:val="Table List Number"/>
    <w:basedOn w:val="ListNumber"/>
    <w:rsid w:val="00AE59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59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59E0"/>
    <w:pPr>
      <w:numPr>
        <w:numId w:val="9"/>
      </w:numPr>
    </w:pPr>
  </w:style>
  <w:style w:type="paragraph" w:customStyle="1" w:styleId="ListAlpha2">
    <w:name w:val="List Alpha 2"/>
    <w:basedOn w:val="List2"/>
    <w:rsid w:val="00AE59E0"/>
    <w:pPr>
      <w:numPr>
        <w:numId w:val="8"/>
      </w:numPr>
    </w:pPr>
  </w:style>
  <w:style w:type="paragraph" w:styleId="List2">
    <w:name w:val="List 2"/>
    <w:basedOn w:val="BodyText"/>
    <w:rsid w:val="00AE59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59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59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59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59E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59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59E0"/>
    <w:pPr>
      <w:numPr>
        <w:numId w:val="4"/>
      </w:numPr>
    </w:pPr>
  </w:style>
  <w:style w:type="paragraph" w:styleId="ListContinue2">
    <w:name w:val="List Continue 2"/>
    <w:basedOn w:val="List2"/>
    <w:rsid w:val="00AE59E0"/>
    <w:pPr>
      <w:ind w:firstLine="0"/>
    </w:pPr>
  </w:style>
  <w:style w:type="paragraph" w:styleId="ListContinue3">
    <w:name w:val="List Continue 3"/>
    <w:basedOn w:val="List3"/>
    <w:rsid w:val="00AE59E0"/>
    <w:pPr>
      <w:ind w:left="1021" w:firstLine="0"/>
    </w:pPr>
  </w:style>
  <w:style w:type="paragraph" w:styleId="ListContinue4">
    <w:name w:val="List Continue 4"/>
    <w:basedOn w:val="List4"/>
    <w:rsid w:val="00AE59E0"/>
    <w:pPr>
      <w:ind w:firstLine="0"/>
    </w:pPr>
  </w:style>
  <w:style w:type="paragraph" w:styleId="ListContinue5">
    <w:name w:val="List Continue 5"/>
    <w:basedOn w:val="List5"/>
    <w:rsid w:val="00AE59E0"/>
    <w:pPr>
      <w:ind w:firstLine="0"/>
    </w:pPr>
  </w:style>
  <w:style w:type="paragraph" w:styleId="ListNumber3">
    <w:name w:val="List Number 3"/>
    <w:basedOn w:val="List3"/>
    <w:rsid w:val="00AE59E0"/>
    <w:pPr>
      <w:numPr>
        <w:numId w:val="5"/>
      </w:numPr>
    </w:pPr>
  </w:style>
  <w:style w:type="paragraph" w:styleId="ListNumber4">
    <w:name w:val="List Number 4"/>
    <w:basedOn w:val="List4"/>
    <w:rsid w:val="00AE59E0"/>
    <w:pPr>
      <w:numPr>
        <w:numId w:val="6"/>
      </w:numPr>
    </w:pPr>
  </w:style>
  <w:style w:type="paragraph" w:styleId="ListNumber5">
    <w:name w:val="List Number 5"/>
    <w:basedOn w:val="List5"/>
    <w:rsid w:val="00AE59E0"/>
    <w:pPr>
      <w:numPr>
        <w:numId w:val="7"/>
      </w:numPr>
    </w:pPr>
  </w:style>
  <w:style w:type="paragraph" w:styleId="BlockText">
    <w:name w:val="Block Text"/>
    <w:basedOn w:val="Normal"/>
    <w:rsid w:val="00AE59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59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59E0"/>
    <w:rPr>
      <w:sz w:val="16"/>
      <w:vertAlign w:val="superscript"/>
    </w:rPr>
  </w:style>
  <w:style w:type="character" w:customStyle="1" w:styleId="Symbols">
    <w:name w:val="Symbols"/>
    <w:basedOn w:val="DefaultParagraphFont"/>
    <w:rsid w:val="00AE59E0"/>
    <w:rPr>
      <w:rFonts w:ascii="Symbol" w:hAnsi="Symbol"/>
    </w:rPr>
  </w:style>
  <w:style w:type="character" w:customStyle="1" w:styleId="MenuOptions">
    <w:name w:val="Menu Options"/>
    <w:basedOn w:val="DefaultParagraphFont"/>
    <w:rsid w:val="00AE59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59E0"/>
    <w:rPr>
      <w:b/>
    </w:rPr>
  </w:style>
  <w:style w:type="character" w:customStyle="1" w:styleId="Underlined">
    <w:name w:val="Underlined"/>
    <w:basedOn w:val="DefaultParagraphFont"/>
    <w:rsid w:val="00AE59E0"/>
    <w:rPr>
      <w:u w:val="single"/>
    </w:rPr>
  </w:style>
  <w:style w:type="paragraph" w:customStyle="1" w:styleId="TableBodyTextRight">
    <w:name w:val="Table Body Text Right"/>
    <w:basedOn w:val="TableBodyText"/>
    <w:rsid w:val="00AE59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59E0"/>
    <w:rPr>
      <w:sz w:val="18"/>
    </w:rPr>
  </w:style>
  <w:style w:type="paragraph" w:customStyle="1" w:styleId="BodySmallRight">
    <w:name w:val="Body Small Right"/>
    <w:basedOn w:val="BodyTextRight"/>
    <w:rsid w:val="00AE59E0"/>
    <w:rPr>
      <w:sz w:val="18"/>
      <w:szCs w:val="18"/>
    </w:rPr>
  </w:style>
  <w:style w:type="paragraph" w:customStyle="1" w:styleId="MarginEdition">
    <w:name w:val="Margin Edition"/>
    <w:basedOn w:val="MarginNote"/>
    <w:rsid w:val="00AE59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59E0"/>
    <w:rPr>
      <w:sz w:val="2"/>
      <w:szCs w:val="2"/>
    </w:rPr>
  </w:style>
  <w:style w:type="character" w:customStyle="1" w:styleId="Small">
    <w:name w:val="Small"/>
    <w:basedOn w:val="DefaultParagraphFont"/>
    <w:rsid w:val="00AE59E0"/>
    <w:rPr>
      <w:sz w:val="16"/>
    </w:rPr>
  </w:style>
  <w:style w:type="paragraph" w:customStyle="1" w:styleId="WideTable">
    <w:name w:val="Wide Table"/>
    <w:basedOn w:val="Normal"/>
    <w:rsid w:val="00AE59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59E0"/>
  </w:style>
  <w:style w:type="paragraph" w:styleId="Quote">
    <w:name w:val="Quote"/>
    <w:basedOn w:val="Heading1"/>
    <w:link w:val="QuoteChar"/>
    <w:qFormat/>
    <w:rsid w:val="00AE59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59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59E0"/>
    <w:pPr>
      <w:pageBreakBefore/>
    </w:pPr>
  </w:style>
  <w:style w:type="paragraph" w:customStyle="1" w:styleId="Border">
    <w:name w:val="Border"/>
    <w:basedOn w:val="Normal"/>
    <w:qFormat/>
    <w:rsid w:val="00AE59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59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9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9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59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59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59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59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59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59E0"/>
    <w:rPr>
      <w:u w:val="single"/>
    </w:rPr>
  </w:style>
  <w:style w:type="character" w:customStyle="1" w:styleId="BoldandItalics">
    <w:name w:val="Bold and Italics"/>
    <w:qFormat/>
    <w:rsid w:val="00AE59E0"/>
    <w:rPr>
      <w:b/>
      <w:i/>
      <w:u w:val="none"/>
    </w:rPr>
  </w:style>
  <w:style w:type="paragraph" w:styleId="BalloonText">
    <w:name w:val="Balloon Text"/>
    <w:basedOn w:val="Normal"/>
    <w:link w:val="BalloonTextChar"/>
    <w:rsid w:val="00AE59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9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59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59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59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59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59E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4855</Characters>
  <Application>Microsoft Office Word</Application>
  <DocSecurity>0</DocSecurity>
  <Lines>99</Lines>
  <Paragraphs>57</Paragraphs>
  <ScaleCrop>false</ScaleCrop>
  <Company>Author-it Software Corporation Ltd.</Company>
  <LinksUpToDate>false</LinksUpToDate>
  <CharactersWithSpaces>5592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MSL935003 Authorise the issue of test results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2018-02-01T00:47:00Z</dcterms:created>
  <dcterms:modified xsi:type="dcterms:W3CDTF">2018-02-01T00:47:00Z</dcterms:modified>
</cp:coreProperties>
</file>