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2C9" w:rsidP="00CA42C9">
      <w:pPr>
        <w:pStyle w:val="Title"/>
      </w:pPr>
      <w:r>
        <w:fldChar w:fldCharType="begin"/>
      </w:r>
      <w:r>
        <w:instrText xml:space="preserve"> TITLE   \* MERGEFORMAT </w:instrText>
      </w:r>
      <w:r>
        <w:fldChar w:fldCharType="separate"/>
      </w:r>
      <w:r>
        <w:t>MSL935001 Monitor the quality of test results and data</w:t>
      </w:r>
      <w:r>
        <w:fldChar w:fldCharType="end"/>
      </w:r>
    </w:p>
    <w:p w:rsidR="00CA42C9" w:rsidP="00CA42C9">
      <w:pPr>
        <w:pStyle w:val="Version"/>
        <w:sectPr w:rsidSect="003F4E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4EF4" w:rsidP="003F4EF4">
      <w:pPr>
        <w:pStyle w:val="SuperHeading"/>
      </w:pPr>
      <w:r w:rsidRPr="003F4EF4">
        <w:t>MSL935001 Monitor the quality of test results and data</w:t>
      </w:r>
    </w:p>
    <w:p w:rsidR="00000000" w:rsidRPr="003F4EF4" w:rsidP="003F4EF4">
      <w:pPr>
        <w:pStyle w:val="Heading1"/>
      </w:pPr>
      <w:bookmarkStart w:id="1" w:name="O_902294"/>
      <w:bookmarkEnd w:id="1"/>
      <w:r w:rsidRPr="003F4EF4">
        <w:t>Modification History</w:t>
      </w:r>
    </w:p>
    <w:p w:rsidR="00000000" w:rsidRPr="003F4EF4" w:rsidP="003F4EF4">
      <w:pPr>
        <w:pStyle w:val="BodyText"/>
      </w:pPr>
      <w:r w:rsidRPr="003F4EF4">
        <w:t>Release 1. Supersedes and is equivalent to MSL935001A Monitor the quality of test results and data</w:t>
      </w:r>
    </w:p>
    <w:p w:rsidR="00000000" w:rsidRPr="003F4EF4" w:rsidP="003F4EF4">
      <w:pPr>
        <w:pStyle w:val="AllowPageBreak"/>
      </w:pPr>
    </w:p>
    <w:p w:rsidR="00000000" w:rsidRPr="003F4EF4" w:rsidP="003F4EF4">
      <w:pPr>
        <w:pStyle w:val="Heading1"/>
      </w:pPr>
      <w:bookmarkStart w:id="2" w:name="O_902302"/>
      <w:bookmarkEnd w:id="2"/>
      <w:r w:rsidRPr="003F4EF4">
        <w:t>Application</w:t>
      </w:r>
    </w:p>
    <w:p w:rsidR="00000000" w:rsidRPr="003F4EF4" w:rsidP="003F4EF4">
      <w:pPr>
        <w:pStyle w:val="BodyText"/>
      </w:pPr>
      <w:r w:rsidRPr="003F4EF4">
        <w:t xml:space="preserve">This unit of competency covers the ability to analyse a series of test results and data to </w:t>
      </w:r>
      <w:r w:rsidRPr="003F4EF4">
        <w:t>detect potential or actual non-conformances, assess their significance and recommend preventative or corrective actions. The unit assumes personnel will have access to workplace quality assurance procedures based on Australian and/or international standard</w:t>
      </w:r>
      <w:r w:rsidRPr="003F4EF4">
        <w:t>s. This unit of competency does not cover the adaptation or development of test methods or procedures.</w:t>
      </w:r>
    </w:p>
    <w:p w:rsidR="00000000" w:rsidRPr="003F4EF4" w:rsidP="003F4EF4">
      <w:pPr>
        <w:pStyle w:val="BodyText"/>
      </w:pPr>
    </w:p>
    <w:p w:rsidR="00000000" w:rsidRPr="003F4EF4" w:rsidP="003F4EF4">
      <w:pPr>
        <w:pStyle w:val="BodyText"/>
      </w:pPr>
      <w:r w:rsidRPr="003F4EF4">
        <w:t>This unit of competency is applicable to technical officers, technical specialists and laboratory supervisors in all industry sectors.</w:t>
      </w:r>
    </w:p>
    <w:p w:rsidR="00000000" w:rsidRPr="003F4EF4" w:rsidP="003F4EF4">
      <w:pPr>
        <w:pStyle w:val="BodyText"/>
      </w:pPr>
    </w:p>
    <w:p w:rsidR="00000000" w:rsidRPr="003F4EF4" w:rsidP="003F4EF4">
      <w:pPr>
        <w:pStyle w:val="BodyText"/>
      </w:pPr>
      <w:r w:rsidRPr="003F4EF4">
        <w:t>While no specifi</w:t>
      </w:r>
      <w:r w:rsidRPr="003F4EF4">
        <w:t>c licensing or certification requirements apply to this unit at the time of publication, laboratory operations are governed by relevant legislation, regulations and/or external accreditation requirements. Local requirements should be checked</w:t>
      </w:r>
    </w:p>
    <w:p w:rsidR="00000000" w:rsidRPr="003F4EF4" w:rsidP="003F4EF4">
      <w:pPr>
        <w:pStyle w:val="AllowPageBreak"/>
      </w:pPr>
    </w:p>
    <w:p w:rsidR="00000000" w:rsidRPr="003F4EF4" w:rsidP="003F4EF4">
      <w:pPr>
        <w:pStyle w:val="Heading1"/>
      </w:pPr>
      <w:bookmarkStart w:id="3" w:name="O_902301"/>
      <w:bookmarkEnd w:id="3"/>
      <w:r w:rsidRPr="003F4EF4">
        <w:t>Pre-requisite Unit</w:t>
      </w:r>
    </w:p>
    <w:tbl>
      <w:tblPr>
        <w:tblW w:w="0" w:type="auto"/>
        <w:tblCellMar>
          <w:left w:w="62" w:type="dxa"/>
          <w:right w:w="62" w:type="dxa"/>
        </w:tblCellMar>
        <w:tblLook w:val="0000"/>
      </w:tblPr>
      <w:tblGrid>
        <w:gridCol w:w="2278"/>
        <w:gridCol w:w="6918"/>
      </w:tblGrid>
      <w:tr w:rsidTr="00CA4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MSL924001</w:t>
            </w:r>
          </w:p>
        </w:tc>
        <w:tc>
          <w:tcPr>
            <w:tcW w:w="0" w:type="auto"/>
            <w:tcBorders>
              <w:top w:val="nil"/>
              <w:left w:val="nil"/>
              <w:bottom w:val="nil"/>
              <w:right w:val="nil"/>
            </w:tcBorders>
            <w:tcMar>
              <w:top w:w="0" w:type="dxa"/>
              <w:left w:w="62" w:type="dxa"/>
              <w:bottom w:w="0" w:type="dxa"/>
              <w:right w:w="62" w:type="dxa"/>
            </w:tcMar>
          </w:tcPr>
          <w:p w:rsidR="00000000" w:rsidRPr="003F4EF4" w:rsidP="003F4EF4">
            <w:pPr>
              <w:pStyle w:val="BodyText"/>
            </w:pPr>
            <w:r w:rsidRPr="003F4EF4">
              <w:t>Process and interpret data</w:t>
            </w:r>
          </w:p>
        </w:tc>
      </w:tr>
    </w:tbl>
    <w:p w:rsidR="00000000" w:rsidRPr="003F4EF4" w:rsidP="003F4EF4">
      <w:pPr>
        <w:pStyle w:val="BodyText"/>
      </w:pPr>
    </w:p>
    <w:p w:rsidR="00000000" w:rsidRPr="003F4EF4" w:rsidP="003F4EF4">
      <w:pPr>
        <w:pStyle w:val="AllowPageBreak"/>
      </w:pPr>
    </w:p>
    <w:p w:rsidR="00000000" w:rsidRPr="003F4EF4" w:rsidP="003F4EF4">
      <w:pPr>
        <w:pStyle w:val="Heading1"/>
      </w:pPr>
      <w:bookmarkStart w:id="4" w:name="O_902300"/>
      <w:bookmarkEnd w:id="4"/>
      <w:r w:rsidRPr="003F4EF4">
        <w:t>Competency Field</w:t>
      </w:r>
    </w:p>
    <w:p w:rsidR="00000000" w:rsidRPr="003F4EF4" w:rsidP="003F4EF4">
      <w:pPr>
        <w:pStyle w:val="BodyText"/>
      </w:pPr>
      <w:r w:rsidRPr="003F4EF4">
        <w:t>Quality</w:t>
      </w:r>
    </w:p>
    <w:p w:rsidR="00000000" w:rsidRPr="003F4EF4" w:rsidP="003F4EF4">
      <w:pPr>
        <w:pStyle w:val="AllowPageBreak"/>
      </w:pPr>
    </w:p>
    <w:p w:rsidR="00000000" w:rsidRPr="003F4EF4" w:rsidP="003F4EF4">
      <w:pPr>
        <w:pStyle w:val="Heading1"/>
      </w:pPr>
      <w:bookmarkStart w:id="5" w:name="O_902299"/>
      <w:bookmarkEnd w:id="5"/>
      <w:r w:rsidRPr="003F4EF4">
        <w:t>Unit Sector</w:t>
      </w:r>
    </w:p>
    <w:p w:rsidR="00000000" w:rsidRPr="003F4EF4" w:rsidP="003F4EF4">
      <w:pPr>
        <w:pStyle w:val="Heading1"/>
      </w:pPr>
      <w:bookmarkStart w:id="6" w:name="O_902298"/>
      <w:bookmarkEnd w:id="6"/>
      <w:r w:rsidRPr="003F4EF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F4EF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Performance criteria describe the performance needed to demonstrate achievement of the element.</w:t>
            </w: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4EF4" w:rsidP="003F4EF4">
            <w:pPr>
              <w:pStyle w:val="BodyText"/>
            </w:pPr>
            <w:r w:rsidRPr="003F4EF4">
              <w:t>1</w:t>
            </w:r>
          </w:p>
        </w:tc>
        <w:tc>
          <w:tcPr>
            <w:tcW w:w="1962" w:type="dxa"/>
            <w:vMerge w:val="restart"/>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rPr>
                <w:rStyle w:val="SpecialBold"/>
              </w:rPr>
              <w:t>Verify accuracy of data and technical records</w:t>
            </w: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1.1</w:t>
            </w:r>
          </w:p>
        </w:tc>
        <w:tc>
          <w:tcPr>
            <w:tcW w:w="561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 xml:space="preserve">Retrieve and collate all relevant data files and technical records for the specified time interval, tests </w:t>
            </w:r>
            <w:r w:rsidRPr="003F4EF4">
              <w:t>or product range or project</w:t>
            </w: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1.2</w:t>
            </w:r>
          </w:p>
        </w:tc>
        <w:tc>
          <w:tcPr>
            <w:tcW w:w="561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Inspect data records to check the integrity of data entry, alterations, transfers and calculations</w:t>
            </w: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1.3</w:t>
            </w:r>
          </w:p>
        </w:tc>
        <w:tc>
          <w:tcPr>
            <w:tcW w:w="561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Confirm that technical records contain sufficient information to provide an audit trail for the tests involved</w:t>
            </w:r>
          </w:p>
        </w:tc>
      </w:tr>
      <w:tr w:rsidTr="003F4E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4EF4">
            <w:pPr>
              <w:pStyle w:val="BodyText"/>
              <w:rPr>
                <w:lang w:val="en-NZ"/>
              </w:rPr>
            </w:pP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4EF4" w:rsidP="003F4EF4">
            <w:pPr>
              <w:pStyle w:val="BodyText"/>
            </w:pPr>
            <w:r w:rsidRPr="003F4EF4">
              <w:t>2</w:t>
            </w:r>
          </w:p>
        </w:tc>
        <w:tc>
          <w:tcPr>
            <w:tcW w:w="1962" w:type="dxa"/>
            <w:vMerge w:val="restart"/>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rPr>
                <w:rStyle w:val="SpecialBold"/>
              </w:rPr>
              <w:t>Assess the quality of data/results</w:t>
            </w: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2.1</w:t>
            </w:r>
          </w:p>
        </w:tc>
        <w:tc>
          <w:tcPr>
            <w:tcW w:w="561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Use charts and tables to determine whether data/results are within specified limits</w:t>
            </w: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2.2</w:t>
            </w:r>
          </w:p>
        </w:tc>
        <w:tc>
          <w:tcPr>
            <w:tcW w:w="561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Analyse data trends and results for blanks, duplicates and/or check samples to detect systematic uncertainties</w:t>
            </w: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2.3</w:t>
            </w:r>
          </w:p>
        </w:tc>
        <w:tc>
          <w:tcPr>
            <w:tcW w:w="561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Use statistical tests and workplace procedures to check data acceptability</w:t>
            </w: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2.4</w:t>
            </w:r>
          </w:p>
        </w:tc>
        <w:tc>
          <w:tcPr>
            <w:tcW w:w="561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Check that estimations of uncertainties are reasonable and consistent with test method, client or product specification requirements</w:t>
            </w: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2.5</w:t>
            </w:r>
          </w:p>
        </w:tc>
        <w:tc>
          <w:tcPr>
            <w:tcW w:w="561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Identify results that cannot be reconciled with technical records and/or expected outcomes</w:t>
            </w:r>
          </w:p>
        </w:tc>
      </w:tr>
      <w:tr w:rsidTr="003F4E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4EF4">
            <w:pPr>
              <w:pStyle w:val="BodyText"/>
              <w:rPr>
                <w:lang w:val="en-NZ"/>
              </w:rPr>
            </w:pP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4EF4" w:rsidP="003F4EF4">
            <w:pPr>
              <w:pStyle w:val="BodyText"/>
            </w:pPr>
            <w:r w:rsidRPr="003F4EF4">
              <w:t>3</w:t>
            </w:r>
          </w:p>
        </w:tc>
        <w:tc>
          <w:tcPr>
            <w:tcW w:w="1962" w:type="dxa"/>
            <w:vMerge w:val="restart"/>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rPr>
                <w:rStyle w:val="SpecialBold"/>
              </w:rPr>
              <w:t>Identify potential causes for unacceptable results</w:t>
            </w: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3.1</w:t>
            </w:r>
          </w:p>
        </w:tc>
        <w:tc>
          <w:tcPr>
            <w:tcW w:w="561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Review user checks and calibration performance records to confirm that equipment or instrument meets t</w:t>
            </w:r>
            <w:r w:rsidRPr="003F4EF4">
              <w:t>est specifications</w:t>
            </w: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3.2</w:t>
            </w:r>
          </w:p>
        </w:tc>
        <w:tc>
          <w:tcPr>
            <w:tcW w:w="561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Check for obvious sources of interferences that may have occurred during measurements</w:t>
            </w: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3.3</w:t>
            </w:r>
          </w:p>
        </w:tc>
        <w:tc>
          <w:tcPr>
            <w:tcW w:w="561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Review technical records to identify human or environmental factors that could affect reliability of results</w:t>
            </w: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3.4</w:t>
            </w:r>
          </w:p>
        </w:tc>
        <w:tc>
          <w:tcPr>
            <w:tcW w:w="561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Review records of sample collection and preparation to confirm chain of custody requirements and adherence to sampling procedures</w:t>
            </w: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3.5</w:t>
            </w:r>
          </w:p>
        </w:tc>
        <w:tc>
          <w:tcPr>
            <w:tcW w:w="561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Check that any documented deviations from sampling procedures and/or test methods were technically justified and authorised</w:t>
            </w: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3.6</w:t>
            </w:r>
          </w:p>
        </w:tc>
        <w:tc>
          <w:tcPr>
            <w:tcW w:w="561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Check the condition of sampling equipment and/or stored samples if available/appropriate</w:t>
            </w:r>
          </w:p>
        </w:tc>
      </w:tr>
      <w:tr w:rsidTr="003F4E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4EF4">
            <w:pPr>
              <w:pStyle w:val="BodyText"/>
              <w:rPr>
                <w:lang w:val="en-NZ"/>
              </w:rPr>
            </w:pP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4EF4" w:rsidP="003F4EF4">
            <w:pPr>
              <w:pStyle w:val="BodyText"/>
            </w:pPr>
            <w:r w:rsidRPr="003F4EF4">
              <w:t>4</w:t>
            </w:r>
          </w:p>
        </w:tc>
        <w:tc>
          <w:tcPr>
            <w:tcW w:w="1962" w:type="dxa"/>
            <w:vMerge w:val="restart"/>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rPr>
                <w:rStyle w:val="SpecialBold"/>
              </w:rPr>
              <w:t>Report findings to relevant personnel</w:t>
            </w: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4.1</w:t>
            </w:r>
          </w:p>
        </w:tc>
        <w:tc>
          <w:tcPr>
            <w:tcW w:w="561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Summarise the quality of test results and data</w:t>
            </w: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4.2</w:t>
            </w:r>
          </w:p>
        </w:tc>
        <w:tc>
          <w:tcPr>
            <w:tcW w:w="561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Document potential sources or instances of non-conforming work and assess their significance</w:t>
            </w: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4.3</w:t>
            </w:r>
          </w:p>
        </w:tc>
        <w:tc>
          <w:tcPr>
            <w:tcW w:w="561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Recommend appropriate preventative/corrective actions to imp</w:t>
            </w:r>
            <w:r w:rsidRPr="003F4EF4">
              <w:t>rove sampling, testing and/or calibration activities</w:t>
            </w:r>
          </w:p>
        </w:tc>
      </w:tr>
      <w:tr w:rsidTr="003F4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4.4</w:t>
            </w:r>
          </w:p>
        </w:tc>
        <w:tc>
          <w:tcPr>
            <w:tcW w:w="5610" w:type="dxa"/>
            <w:tcBorders>
              <w:top w:val="nil"/>
              <w:left w:val="nil"/>
              <w:bottom w:val="nil"/>
              <w:right w:val="nil"/>
            </w:tcBorders>
            <w:tcMar>
              <w:top w:w="0" w:type="dxa"/>
              <w:left w:w="62" w:type="dxa"/>
              <w:bottom w:w="0" w:type="dxa"/>
              <w:right w:w="62" w:type="dxa"/>
            </w:tcMar>
          </w:tcPr>
          <w:p w:rsidR="00000000" w:rsidRPr="003F4EF4" w:rsidP="003F4EF4">
            <w:pPr>
              <w:pStyle w:val="BodyText"/>
            </w:pPr>
            <w:r w:rsidRPr="003F4EF4">
              <w:t>Prepare reports in a format and style consistent with their intended use and workplace guidelines</w:t>
            </w:r>
          </w:p>
        </w:tc>
      </w:tr>
    </w:tbl>
    <w:p w:rsidR="00000000" w:rsidRPr="003F4EF4" w:rsidP="003F4EF4">
      <w:pPr>
        <w:pStyle w:val="BodyText"/>
      </w:pPr>
    </w:p>
    <w:p w:rsidR="00000000" w:rsidRPr="003F4EF4" w:rsidP="003F4EF4">
      <w:pPr>
        <w:pStyle w:val="AllowPageBreak"/>
      </w:pPr>
    </w:p>
    <w:p w:rsidR="00000000" w:rsidRPr="003F4EF4" w:rsidP="003F4EF4">
      <w:pPr>
        <w:pStyle w:val="Heading1"/>
      </w:pPr>
      <w:bookmarkStart w:id="7" w:name="O_902297"/>
      <w:bookmarkEnd w:id="7"/>
      <w:r w:rsidRPr="003F4EF4">
        <w:t>Foundation Skills</w:t>
      </w:r>
    </w:p>
    <w:p w:rsidR="00000000" w:rsidRPr="003F4EF4" w:rsidP="003F4EF4">
      <w:pPr>
        <w:pStyle w:val="BodyText"/>
      </w:pPr>
      <w:r w:rsidRPr="003F4EF4">
        <w:t>This section describes those language, literacy, numeracy and employment skills that are essential to performance.</w:t>
      </w:r>
    </w:p>
    <w:p w:rsidR="00000000" w:rsidRPr="003F4EF4" w:rsidP="003F4EF4">
      <w:pPr>
        <w:pStyle w:val="BodyText"/>
      </w:pPr>
    </w:p>
    <w:p w:rsidR="00000000" w:rsidRPr="003F4EF4" w:rsidP="003F4EF4">
      <w:pPr>
        <w:pStyle w:val="BodyText"/>
      </w:pPr>
      <w:r w:rsidRPr="003F4EF4">
        <w:t>Foundation skills essential to performance are explicit in the performance criteria of this unit of competency.</w:t>
      </w:r>
    </w:p>
    <w:p w:rsidR="00000000" w:rsidRPr="003F4EF4" w:rsidP="003F4EF4">
      <w:pPr>
        <w:pStyle w:val="AllowPageBreak"/>
      </w:pPr>
    </w:p>
    <w:p w:rsidR="00000000" w:rsidRPr="003F4EF4" w:rsidP="003F4EF4">
      <w:pPr>
        <w:pStyle w:val="Heading1"/>
      </w:pPr>
      <w:bookmarkStart w:id="8" w:name="O_902296"/>
      <w:bookmarkEnd w:id="8"/>
      <w:r w:rsidRPr="003F4EF4">
        <w:t>Range of Co</w:t>
      </w:r>
      <w:r w:rsidRPr="003F4EF4">
        <w:t>nditions</w:t>
      </w:r>
    </w:p>
    <w:tbl>
      <w:tblPr>
        <w:tblW w:w="0" w:type="auto"/>
        <w:tblCellMar>
          <w:left w:w="62" w:type="dxa"/>
          <w:right w:w="62" w:type="dxa"/>
        </w:tblCellMar>
        <w:tblLook w:val="0000"/>
      </w:tblPr>
      <w:tblGrid>
        <w:gridCol w:w="2278"/>
        <w:gridCol w:w="6918"/>
      </w:tblGrid>
      <w:tr w:rsidTr="00CA42C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t>This field allows for different work environments and conditions that may affect performance. Essential operating conditions that may be present (depending on the work situation, needs of the candidate, accessibility of the item, and local industr</w:t>
            </w:r>
            <w:r w:rsidRPr="003F4EF4">
              <w:t>y and regional contexts) are included.</w:t>
            </w:r>
          </w:p>
        </w:tc>
      </w:tr>
      <w:tr w:rsidTr="00CA4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3F4EF4" w:rsidP="003F4EF4">
            <w:pPr>
              <w:pStyle w:val="BodyText"/>
            </w:pPr>
            <w:r w:rsidRPr="003F4EF4">
              <w:t xml:space="preserve">Standards, codes, procedures and/or workplace requirements include the latest version of one or more of: </w:t>
            </w:r>
          </w:p>
          <w:p w:rsidR="00000000" w:rsidRPr="003F4EF4" w:rsidP="003F4EF4">
            <w:pPr>
              <w:pStyle w:val="ListBullet"/>
            </w:pPr>
            <w:r w:rsidRPr="003F4EF4">
              <w:t>Australian and international standards covering the requirements for the competence of testing and calibration laboratories, quality management systems and plans, measurement management, accuracy of measurement methods and results, expression of uncertaint</w:t>
            </w:r>
            <w:r w:rsidRPr="003F4EF4">
              <w:t>y (GUM), quantifying uncertainty in analytical measurement, and sampling and testing methods</w:t>
            </w:r>
          </w:p>
          <w:p w:rsidR="00000000" w:rsidRPr="003F4EF4" w:rsidP="003F4EF4">
            <w:pPr>
              <w:pStyle w:val="ListBullet"/>
            </w:pPr>
            <w:r w:rsidRPr="003F4EF4">
              <w:t>National Association of Testing Authorities (NATA) accreditation program requirements</w:t>
            </w:r>
          </w:p>
          <w:p w:rsidR="00000000" w:rsidRPr="003F4EF4" w:rsidP="003F4EF4">
            <w:pPr>
              <w:pStyle w:val="ListBullet"/>
            </w:pPr>
            <w:r w:rsidRPr="003F4EF4">
              <w:t>national measurement regulations and guidelines</w:t>
            </w:r>
          </w:p>
          <w:p w:rsidR="00000000" w:rsidRPr="003F4EF4" w:rsidP="003F4EF4">
            <w:pPr>
              <w:pStyle w:val="ListBullet"/>
            </w:pPr>
            <w:r w:rsidRPr="003F4EF4">
              <w:t xml:space="preserve">specific codes, regulations, </w:t>
            </w:r>
            <w:r w:rsidRPr="003F4EF4">
              <w:t>guidelines, procedures and methods, such as Australia New Zealand Food Standards (ANZFS) Code, Australian code of good manufacturing practice for medicinal products (GMP), principles of good laboratory practice (GLP), National Health and Medical Research C</w:t>
            </w:r>
            <w:r w:rsidRPr="003F4EF4">
              <w:t>ouncil (NHMRC) Guidelines, and Therapeutic Goods Regulations</w:t>
            </w:r>
          </w:p>
          <w:p w:rsidR="00000000" w:rsidRPr="003F4EF4" w:rsidP="003F4EF4">
            <w:pPr>
              <w:pStyle w:val="ListBullet"/>
            </w:pPr>
            <w:r w:rsidRPr="003F4EF4">
              <w:t xml:space="preserve">workplace documents, such as standard operating procedures (SOPs); quality and equipment manuals; calibration and maintenance schedules; material safety data sheets (MSDS) and safety procedures; </w:t>
            </w:r>
            <w:r w:rsidRPr="003F4EF4">
              <w:t>material, production and product specifications; production and laboratory schedules; workplace recording and reporting procedures; and waste minimisation and safe disposal procedures</w:t>
            </w:r>
          </w:p>
          <w:p w:rsidR="00000000" w:rsidRPr="003F4EF4" w:rsidP="003F4EF4">
            <w:pPr>
              <w:pStyle w:val="ListBullet"/>
            </w:pPr>
            <w:r w:rsidRPr="003F4EF4">
              <w:t>customer-specific requirements/standards</w:t>
            </w:r>
          </w:p>
          <w:p w:rsidR="00000000" w:rsidP="003F4EF4">
            <w:pPr>
              <w:pStyle w:val="BodyText"/>
              <w:rPr>
                <w:lang w:val="en-NZ"/>
              </w:rPr>
            </w:pPr>
          </w:p>
        </w:tc>
      </w:tr>
      <w:tr w:rsidTr="00CA4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rPr>
                <w:rStyle w:val="SpecialBold"/>
              </w:rPr>
              <w:t xml:space="preserve">Technical records </w:t>
            </w:r>
          </w:p>
        </w:tc>
        <w:tc>
          <w:tcPr>
            <w:tcW w:w="0" w:type="auto"/>
            <w:tcBorders>
              <w:top w:val="nil"/>
              <w:left w:val="nil"/>
              <w:bottom w:val="nil"/>
              <w:right w:val="nil"/>
            </w:tcBorders>
            <w:tcMar>
              <w:top w:w="0" w:type="dxa"/>
              <w:left w:w="62" w:type="dxa"/>
              <w:bottom w:w="0" w:type="dxa"/>
              <w:right w:w="62" w:type="dxa"/>
            </w:tcMar>
          </w:tcPr>
          <w:p w:rsidR="00000000" w:rsidRPr="003F4EF4" w:rsidP="003F4EF4">
            <w:pPr>
              <w:pStyle w:val="BodyText"/>
            </w:pPr>
            <w:r w:rsidRPr="003F4EF4">
              <w:t>Technical records include, but are not limited to, one or more of:</w:t>
            </w:r>
          </w:p>
          <w:p w:rsidR="00000000" w:rsidRPr="003F4EF4" w:rsidP="003F4EF4">
            <w:pPr>
              <w:pStyle w:val="ListBullet"/>
            </w:pPr>
            <w:r w:rsidRPr="003F4EF4">
              <w:t>request forms, service agreements and contracts, client notes, papers and feedback</w:t>
            </w:r>
          </w:p>
          <w:p w:rsidR="00000000" w:rsidRPr="003F4EF4" w:rsidP="003F4EF4">
            <w:pPr>
              <w:pStyle w:val="ListBullet"/>
            </w:pPr>
            <w:r w:rsidRPr="003F4EF4">
              <w:t>worksheets, work books, check sheets and work notes, original observations, derived data and calculations</w:t>
            </w:r>
            <w:r w:rsidRPr="003F4EF4">
              <w:t>, and control graphs</w:t>
            </w:r>
          </w:p>
          <w:p w:rsidR="00000000" w:rsidRPr="003F4EF4" w:rsidP="003F4EF4">
            <w:pPr>
              <w:pStyle w:val="ListBullet"/>
            </w:pPr>
            <w:r w:rsidRPr="003F4EF4">
              <w:t>external, internal test reports and calibration certificates</w:t>
            </w:r>
          </w:p>
          <w:p w:rsidR="00000000" w:rsidRPr="003F4EF4" w:rsidP="003F4EF4">
            <w:pPr>
              <w:pStyle w:val="ListBullet"/>
            </w:pPr>
            <w:r w:rsidRPr="003F4EF4">
              <w:t>listing of data and the personnel responsible for sampling, performance of each test/calibration and checking of results</w:t>
            </w:r>
          </w:p>
          <w:p w:rsidR="00000000" w:rsidP="003F4EF4">
            <w:pPr>
              <w:pStyle w:val="BodyText"/>
              <w:rPr>
                <w:lang w:val="en-NZ"/>
              </w:rPr>
            </w:pPr>
          </w:p>
        </w:tc>
      </w:tr>
      <w:tr w:rsidTr="00CA4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rPr>
                <w:rStyle w:val="SpecialBold"/>
              </w:rPr>
              <w:t>Instrument calibration/performance records</w:t>
            </w:r>
          </w:p>
        </w:tc>
        <w:tc>
          <w:tcPr>
            <w:tcW w:w="0" w:type="auto"/>
            <w:tcBorders>
              <w:top w:val="nil"/>
              <w:left w:val="nil"/>
              <w:bottom w:val="nil"/>
              <w:right w:val="nil"/>
            </w:tcBorders>
            <w:tcMar>
              <w:top w:w="0" w:type="dxa"/>
              <w:left w:w="62" w:type="dxa"/>
              <w:bottom w:w="0" w:type="dxa"/>
              <w:right w:w="62" w:type="dxa"/>
            </w:tcMar>
          </w:tcPr>
          <w:p w:rsidR="00000000" w:rsidRPr="003F4EF4" w:rsidP="003F4EF4">
            <w:pPr>
              <w:pStyle w:val="BodyText"/>
            </w:pPr>
            <w:r w:rsidRPr="003F4EF4">
              <w:t>Instrume</w:t>
            </w:r>
            <w:r w:rsidRPr="003F4EF4">
              <w:t>nt calibration/performance records include, but are not limited to, one or more of:</w:t>
            </w:r>
          </w:p>
          <w:p w:rsidR="00000000" w:rsidRPr="003F4EF4" w:rsidP="003F4EF4">
            <w:pPr>
              <w:pStyle w:val="ListBullet"/>
            </w:pPr>
            <w:r w:rsidRPr="003F4EF4">
              <w:t>checks that equipment/instrument complies with specifications</w:t>
            </w:r>
          </w:p>
          <w:p w:rsidR="00000000" w:rsidRPr="003F4EF4" w:rsidP="003F4EF4">
            <w:pPr>
              <w:pStyle w:val="ListBullet"/>
            </w:pPr>
            <w:r w:rsidRPr="003F4EF4">
              <w:t>dates, results and copies of reports and certificates of calibrations, adjustments, acceptance criteria and d</w:t>
            </w:r>
            <w:r w:rsidRPr="003F4EF4">
              <w:t>ue date of next calibration</w:t>
            </w:r>
          </w:p>
          <w:p w:rsidR="00000000" w:rsidRPr="003F4EF4" w:rsidP="003F4EF4">
            <w:pPr>
              <w:pStyle w:val="ListBullet"/>
            </w:pPr>
            <w:r w:rsidRPr="003F4EF4">
              <w:t>maintenance plan and maintenance carried out to date</w:t>
            </w:r>
          </w:p>
          <w:p w:rsidR="00000000" w:rsidRPr="003F4EF4" w:rsidP="003F4EF4">
            <w:pPr>
              <w:pStyle w:val="ListBullet"/>
            </w:pPr>
            <w:r w:rsidRPr="003F4EF4">
              <w:t>damage, malfunction, modification or repairs</w:t>
            </w:r>
          </w:p>
          <w:p w:rsidR="00000000" w:rsidRPr="003F4EF4" w:rsidP="003F4EF4">
            <w:pPr>
              <w:pStyle w:val="ListBullet"/>
            </w:pPr>
            <w:r w:rsidRPr="003F4EF4">
              <w:t>data files and technical records, and laboratory information management system (LIMS)</w:t>
            </w:r>
          </w:p>
          <w:p w:rsidR="00000000" w:rsidP="003F4EF4">
            <w:pPr>
              <w:pStyle w:val="BodyText"/>
              <w:rPr>
                <w:lang w:val="en-NZ"/>
              </w:rPr>
            </w:pPr>
          </w:p>
        </w:tc>
      </w:tr>
      <w:tr w:rsidTr="00CA4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rPr>
                <w:rStyle w:val="SpecialBold"/>
              </w:rPr>
              <w:t>Charts, tables and statistical analysis tools and techniques</w:t>
            </w:r>
          </w:p>
        </w:tc>
        <w:tc>
          <w:tcPr>
            <w:tcW w:w="0" w:type="auto"/>
            <w:tcBorders>
              <w:top w:val="nil"/>
              <w:left w:val="nil"/>
              <w:bottom w:val="nil"/>
              <w:right w:val="nil"/>
            </w:tcBorders>
            <w:tcMar>
              <w:top w:w="0" w:type="dxa"/>
              <w:left w:w="62" w:type="dxa"/>
              <w:bottom w:w="0" w:type="dxa"/>
              <w:right w:w="62" w:type="dxa"/>
            </w:tcMar>
          </w:tcPr>
          <w:p w:rsidR="00000000" w:rsidRPr="003F4EF4" w:rsidP="003F4EF4">
            <w:pPr>
              <w:pStyle w:val="BodyText"/>
            </w:pPr>
            <w:r w:rsidRPr="003F4EF4">
              <w:t>Charts, tables and statistical analysis tools and techniques include one or more of:</w:t>
            </w:r>
          </w:p>
          <w:p w:rsidR="00000000" w:rsidRPr="003F4EF4" w:rsidP="003F4EF4">
            <w:pPr>
              <w:pStyle w:val="ListBullet"/>
            </w:pPr>
            <w:r w:rsidRPr="003F4EF4">
              <w:t>run charts and control charts</w:t>
            </w:r>
          </w:p>
          <w:p w:rsidR="00000000" w:rsidRPr="003F4EF4" w:rsidP="003F4EF4">
            <w:pPr>
              <w:pStyle w:val="ListBullet"/>
            </w:pPr>
            <w:r w:rsidRPr="003F4EF4">
              <w:t>histograms, frequency plots, stem and leaf plots, boxplots and scatter plots</w:t>
            </w:r>
          </w:p>
          <w:p w:rsidR="00000000" w:rsidRPr="003F4EF4" w:rsidP="003F4EF4">
            <w:pPr>
              <w:pStyle w:val="ListBullet"/>
            </w:pPr>
            <w:r w:rsidRPr="003F4EF4">
              <w:t>pr</w:t>
            </w:r>
            <w:r w:rsidRPr="003F4EF4">
              <w:t>obability and normal probability plots</w:t>
            </w:r>
          </w:p>
          <w:p w:rsidR="00000000" w:rsidRPr="003F4EF4" w:rsidP="003F4EF4">
            <w:pPr>
              <w:pStyle w:val="ListBullet"/>
            </w:pPr>
            <w:r w:rsidRPr="003F4EF4">
              <w:t>Pareto diagrams, Shewhart control charts and CuSum control charts</w:t>
            </w:r>
          </w:p>
          <w:p w:rsidR="00000000" w:rsidRPr="003F4EF4" w:rsidP="003F4EF4">
            <w:pPr>
              <w:pStyle w:val="ListBullet"/>
            </w:pPr>
            <w:r w:rsidRPr="003F4EF4">
              <w:t>regression methods for calibration, linearity checks and comparing analytical methods</w:t>
            </w:r>
          </w:p>
          <w:p w:rsidR="00000000" w:rsidRPr="003F4EF4" w:rsidP="003F4EF4">
            <w:pPr>
              <w:pStyle w:val="ListBullet"/>
            </w:pPr>
            <w:r w:rsidRPr="003F4EF4">
              <w:t>calculations of means, ranges, standard deviations, confidence li</w:t>
            </w:r>
            <w:r w:rsidRPr="003F4EF4">
              <w:t>mits</w:t>
            </w:r>
          </w:p>
          <w:p w:rsidR="00000000" w:rsidRPr="003F4EF4" w:rsidP="003F4EF4">
            <w:pPr>
              <w:pStyle w:val="ListBullet"/>
            </w:pPr>
            <w:r w:rsidRPr="003F4EF4">
              <w:t>analysis of variance (ANOVA)</w:t>
            </w:r>
          </w:p>
          <w:p w:rsidR="00000000" w:rsidRPr="003F4EF4" w:rsidP="003F4EF4">
            <w:pPr>
              <w:pStyle w:val="ListBullet"/>
            </w:pPr>
            <w:r w:rsidRPr="003F4EF4">
              <w:t>data acceptability tests, such as Q, T and Youden</w:t>
            </w:r>
          </w:p>
          <w:p w:rsidR="00000000" w:rsidP="003F4EF4">
            <w:pPr>
              <w:pStyle w:val="BodyText"/>
              <w:rPr>
                <w:lang w:val="en-NZ"/>
              </w:rPr>
            </w:pPr>
          </w:p>
        </w:tc>
      </w:tr>
      <w:tr w:rsidTr="00CA4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rPr>
                <w:rStyle w:val="SpecialBold"/>
              </w:rPr>
              <w:t>Sources of interference</w:t>
            </w:r>
          </w:p>
        </w:tc>
        <w:tc>
          <w:tcPr>
            <w:tcW w:w="0" w:type="auto"/>
            <w:tcBorders>
              <w:top w:val="nil"/>
              <w:left w:val="nil"/>
              <w:bottom w:val="nil"/>
              <w:right w:val="nil"/>
            </w:tcBorders>
            <w:tcMar>
              <w:top w:w="0" w:type="dxa"/>
              <w:left w:w="62" w:type="dxa"/>
              <w:bottom w:w="0" w:type="dxa"/>
              <w:right w:w="62" w:type="dxa"/>
            </w:tcMar>
          </w:tcPr>
          <w:p w:rsidR="00000000" w:rsidRPr="003F4EF4" w:rsidP="003F4EF4">
            <w:pPr>
              <w:pStyle w:val="BodyText"/>
            </w:pPr>
            <w:r w:rsidRPr="003F4EF4">
              <w:t>Sources of interferences include, but are not limited to, one or more of:</w:t>
            </w:r>
          </w:p>
          <w:p w:rsidR="00000000" w:rsidRPr="003F4EF4" w:rsidP="003F4EF4">
            <w:pPr>
              <w:pStyle w:val="ListBullet"/>
            </w:pPr>
            <w:r w:rsidRPr="003F4EF4">
              <w:t>spectral interference</w:t>
            </w:r>
          </w:p>
          <w:p w:rsidR="00000000" w:rsidRPr="003F4EF4" w:rsidP="003F4EF4">
            <w:pPr>
              <w:pStyle w:val="ListBullet"/>
            </w:pPr>
            <w:r w:rsidRPr="003F4EF4">
              <w:t xml:space="preserve">physical interference </w:t>
            </w:r>
          </w:p>
          <w:p w:rsidR="00000000" w:rsidRPr="003F4EF4" w:rsidP="003F4EF4">
            <w:pPr>
              <w:pStyle w:val="ListBullet"/>
            </w:pPr>
            <w:r w:rsidRPr="003F4EF4">
              <w:t>matrix effects</w:t>
            </w:r>
          </w:p>
          <w:p w:rsidR="00000000" w:rsidRPr="003F4EF4" w:rsidP="003F4EF4">
            <w:pPr>
              <w:pStyle w:val="ListBullet"/>
            </w:pPr>
            <w:r w:rsidRPr="003F4EF4">
              <w:t>presence of contaminants</w:t>
            </w:r>
          </w:p>
          <w:p w:rsidR="00000000" w:rsidRPr="003F4EF4" w:rsidP="003F4EF4">
            <w:pPr>
              <w:pStyle w:val="ListBullet"/>
            </w:pPr>
            <w:r w:rsidRPr="003F4EF4">
              <w:t>masking of analytes</w:t>
            </w:r>
          </w:p>
          <w:p w:rsidR="00000000" w:rsidP="003F4EF4">
            <w:pPr>
              <w:pStyle w:val="BodyText"/>
              <w:rPr>
                <w:lang w:val="en-NZ"/>
              </w:rPr>
            </w:pPr>
          </w:p>
        </w:tc>
      </w:tr>
      <w:tr w:rsidTr="00CA4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rPr>
                <w:rStyle w:val="SpecialBold"/>
              </w:rPr>
              <w:t xml:space="preserve">Human and environmental factors </w:t>
            </w:r>
          </w:p>
        </w:tc>
        <w:tc>
          <w:tcPr>
            <w:tcW w:w="0" w:type="auto"/>
            <w:tcBorders>
              <w:top w:val="nil"/>
              <w:left w:val="nil"/>
              <w:bottom w:val="nil"/>
              <w:right w:val="nil"/>
            </w:tcBorders>
            <w:tcMar>
              <w:top w:w="0" w:type="dxa"/>
              <w:left w:w="62" w:type="dxa"/>
              <w:bottom w:w="0" w:type="dxa"/>
              <w:right w:w="62" w:type="dxa"/>
            </w:tcMar>
          </w:tcPr>
          <w:p w:rsidR="00000000" w:rsidRPr="003F4EF4" w:rsidP="003F4EF4">
            <w:pPr>
              <w:pStyle w:val="BodyText"/>
            </w:pPr>
            <w:r w:rsidRPr="003F4EF4">
              <w:t>Human and environmental factors include, but are not limited to, one or more of:</w:t>
            </w:r>
          </w:p>
          <w:p w:rsidR="00000000" w:rsidRPr="003F4EF4" w:rsidP="003F4EF4">
            <w:pPr>
              <w:pStyle w:val="ListBullet"/>
            </w:pPr>
            <w:r w:rsidRPr="003F4EF4">
              <w:t>lack of operator competence and/or training</w:t>
            </w:r>
          </w:p>
          <w:p w:rsidR="00000000" w:rsidRPr="003F4EF4" w:rsidP="003F4EF4">
            <w:pPr>
              <w:pStyle w:val="ListBullet"/>
            </w:pPr>
            <w:r w:rsidRPr="003F4EF4">
              <w:t>inadequate attention to detail, fatigue and stress</w:t>
            </w:r>
          </w:p>
          <w:p w:rsidR="00000000" w:rsidRPr="003F4EF4" w:rsidP="003F4EF4">
            <w:pPr>
              <w:pStyle w:val="ListBullet"/>
            </w:pPr>
            <w:r w:rsidRPr="003F4EF4">
              <w:t>inadequate hygiene and sterility</w:t>
            </w:r>
          </w:p>
          <w:p w:rsidR="00000000" w:rsidRPr="003F4EF4" w:rsidP="003F4EF4">
            <w:pPr>
              <w:pStyle w:val="ListBullet"/>
            </w:pPr>
            <w:r w:rsidRPr="003F4EF4">
              <w:t>unacceptable dust, humidity, temperature and illumination levels</w:t>
            </w:r>
          </w:p>
          <w:p w:rsidR="00000000" w:rsidRPr="003F4EF4" w:rsidP="003F4EF4">
            <w:pPr>
              <w:pStyle w:val="ListBullet"/>
            </w:pPr>
            <w:r w:rsidRPr="003F4EF4">
              <w:t>electromagnetic disturbances</w:t>
            </w:r>
          </w:p>
          <w:p w:rsidR="00000000" w:rsidRPr="003F4EF4" w:rsidP="003F4EF4">
            <w:pPr>
              <w:pStyle w:val="ListBullet"/>
            </w:pPr>
            <w:r w:rsidRPr="003F4EF4">
              <w:t>variations to gas, electricity and water supply</w:t>
            </w:r>
          </w:p>
          <w:p w:rsidR="00000000" w:rsidRPr="003F4EF4" w:rsidP="003F4EF4">
            <w:pPr>
              <w:pStyle w:val="ListBullet"/>
            </w:pPr>
            <w:r w:rsidRPr="003F4EF4">
              <w:t>unacceptable sound and vibration levels</w:t>
            </w:r>
          </w:p>
          <w:p w:rsidR="00000000" w:rsidP="003F4EF4">
            <w:pPr>
              <w:pStyle w:val="BodyText"/>
              <w:rPr>
                <w:lang w:val="en-NZ"/>
              </w:rPr>
            </w:pPr>
          </w:p>
        </w:tc>
      </w:tr>
      <w:tr w:rsidTr="00CA4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rPr>
                <w:rStyle w:val="SpecialBold"/>
              </w:rPr>
              <w:t xml:space="preserve">Sample collection and preparation problems </w:t>
            </w:r>
          </w:p>
        </w:tc>
        <w:tc>
          <w:tcPr>
            <w:tcW w:w="0" w:type="auto"/>
            <w:tcBorders>
              <w:top w:val="nil"/>
              <w:left w:val="nil"/>
              <w:bottom w:val="nil"/>
              <w:right w:val="nil"/>
            </w:tcBorders>
            <w:tcMar>
              <w:top w:w="0" w:type="dxa"/>
              <w:left w:w="62" w:type="dxa"/>
              <w:bottom w:w="0" w:type="dxa"/>
              <w:right w:w="62" w:type="dxa"/>
            </w:tcMar>
          </w:tcPr>
          <w:p w:rsidR="00000000" w:rsidRPr="003F4EF4" w:rsidP="003F4EF4">
            <w:pPr>
              <w:pStyle w:val="BodyText"/>
            </w:pPr>
            <w:r w:rsidRPr="003F4EF4">
              <w:t>Sample collection and preparation problems include, but are not limited to, one or more of:</w:t>
            </w:r>
          </w:p>
          <w:p w:rsidR="00000000" w:rsidRPr="003F4EF4" w:rsidP="003F4EF4">
            <w:pPr>
              <w:pStyle w:val="ListBullet"/>
            </w:pPr>
            <w:r w:rsidRPr="003F4EF4">
              <w:t>incorrect sample containers</w:t>
            </w:r>
          </w:p>
          <w:p w:rsidR="00000000" w:rsidRPr="003F4EF4" w:rsidP="003F4EF4">
            <w:pPr>
              <w:pStyle w:val="ListBullet"/>
            </w:pPr>
            <w:r w:rsidRPr="003F4EF4">
              <w:t>incorrect sample handling (filtered/non-filtered, temperature control and preservation), sa</w:t>
            </w:r>
            <w:r w:rsidRPr="003F4EF4">
              <w:t>mple disturbance and sample segregation</w:t>
            </w:r>
          </w:p>
          <w:p w:rsidR="00000000" w:rsidRPr="003F4EF4" w:rsidP="003F4EF4">
            <w:pPr>
              <w:pStyle w:val="ListBullet"/>
            </w:pPr>
            <w:r w:rsidRPr="003F4EF4">
              <w:t>incomplete sample preparation</w:t>
            </w:r>
          </w:p>
          <w:p w:rsidR="00000000" w:rsidRPr="003F4EF4" w:rsidP="003F4EF4">
            <w:pPr>
              <w:pStyle w:val="ListBullet"/>
            </w:pPr>
            <w:r w:rsidRPr="003F4EF4">
              <w:t>incorrect particle size</w:t>
            </w:r>
          </w:p>
          <w:p w:rsidR="00000000" w:rsidRPr="003F4EF4" w:rsidP="003F4EF4">
            <w:pPr>
              <w:pStyle w:val="ListBullet"/>
            </w:pPr>
            <w:r w:rsidRPr="003F4EF4">
              <w:t>incorrect matrix</w:t>
            </w:r>
          </w:p>
          <w:p w:rsidR="00000000" w:rsidRPr="003F4EF4" w:rsidP="003F4EF4">
            <w:pPr>
              <w:pStyle w:val="ListBullet"/>
            </w:pPr>
            <w:r w:rsidRPr="003F4EF4">
              <w:t>incomplete digest</w:t>
            </w:r>
          </w:p>
          <w:p w:rsidR="00000000" w:rsidP="003F4EF4">
            <w:pPr>
              <w:pStyle w:val="BodyText"/>
              <w:rPr>
                <w:lang w:val="en-NZ"/>
              </w:rPr>
            </w:pPr>
          </w:p>
        </w:tc>
      </w:tr>
      <w:tr w:rsidTr="00CA4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rPr>
                <w:rStyle w:val="SpecialBold"/>
              </w:rPr>
              <w:t>Preventative/corrective actions</w:t>
            </w:r>
          </w:p>
        </w:tc>
        <w:tc>
          <w:tcPr>
            <w:tcW w:w="0" w:type="auto"/>
            <w:tcBorders>
              <w:top w:val="nil"/>
              <w:left w:val="nil"/>
              <w:bottom w:val="nil"/>
              <w:right w:val="nil"/>
            </w:tcBorders>
            <w:tcMar>
              <w:top w:w="0" w:type="dxa"/>
              <w:left w:w="62" w:type="dxa"/>
              <w:bottom w:w="0" w:type="dxa"/>
              <w:right w:w="62" w:type="dxa"/>
            </w:tcMar>
          </w:tcPr>
          <w:p w:rsidR="00000000" w:rsidRPr="003F4EF4" w:rsidP="003F4EF4">
            <w:pPr>
              <w:pStyle w:val="BodyText"/>
            </w:pPr>
            <w:r w:rsidRPr="003F4EF4">
              <w:t>Preventative/corrective actions include, but are not limited to, one or more of:</w:t>
            </w:r>
          </w:p>
          <w:p w:rsidR="00000000" w:rsidRPr="003F4EF4" w:rsidP="003F4EF4">
            <w:pPr>
              <w:pStyle w:val="ListBullet"/>
            </w:pPr>
            <w:r w:rsidRPr="003F4EF4">
              <w:t>regular use of certified reference materials</w:t>
            </w:r>
          </w:p>
          <w:p w:rsidR="00000000" w:rsidRPr="003F4EF4" w:rsidP="003F4EF4">
            <w:pPr>
              <w:pStyle w:val="ListBullet"/>
            </w:pPr>
            <w:r w:rsidRPr="003F4EF4">
              <w:t>internal quality controls using secondary reference materials</w:t>
            </w:r>
          </w:p>
          <w:p w:rsidR="00000000" w:rsidRPr="003F4EF4" w:rsidP="003F4EF4">
            <w:pPr>
              <w:pStyle w:val="ListBullet"/>
            </w:pPr>
            <w:r w:rsidRPr="003F4EF4">
              <w:t>participation in inter-laboratory comparison or proficiency testing programs</w:t>
            </w:r>
          </w:p>
          <w:p w:rsidR="00000000" w:rsidRPr="003F4EF4" w:rsidP="003F4EF4">
            <w:pPr>
              <w:pStyle w:val="ListBullet"/>
            </w:pPr>
            <w:r w:rsidRPr="003F4EF4">
              <w:t>replicate tests or calibrations using the same or different methods</w:t>
            </w:r>
          </w:p>
          <w:p w:rsidR="00000000" w:rsidRPr="003F4EF4" w:rsidP="003F4EF4">
            <w:pPr>
              <w:pStyle w:val="ListBullet"/>
            </w:pPr>
            <w:r w:rsidRPr="003F4EF4">
              <w:t>rete</w:t>
            </w:r>
            <w:r w:rsidRPr="003F4EF4">
              <w:t>sting or recalibration of retained items</w:t>
            </w:r>
          </w:p>
          <w:p w:rsidR="00000000" w:rsidRPr="003F4EF4" w:rsidP="003F4EF4">
            <w:pPr>
              <w:pStyle w:val="ListBullet"/>
            </w:pPr>
            <w:r w:rsidRPr="003F4EF4">
              <w:t>correlation of results for different characteristics of an item</w:t>
            </w:r>
          </w:p>
          <w:p w:rsidR="00000000" w:rsidRPr="003F4EF4" w:rsidP="003F4EF4">
            <w:pPr>
              <w:pStyle w:val="ListBullet"/>
            </w:pPr>
            <w:r w:rsidRPr="003F4EF4">
              <w:t>additional audits and management reviews</w:t>
            </w:r>
          </w:p>
          <w:p w:rsidR="00000000" w:rsidRPr="003F4EF4" w:rsidP="003F4EF4">
            <w:pPr>
              <w:pStyle w:val="ListBullet"/>
            </w:pPr>
            <w:r w:rsidRPr="003F4EF4">
              <w:t>regular quality checks on consumables</w:t>
            </w:r>
          </w:p>
          <w:p w:rsidR="00000000" w:rsidRPr="003F4EF4" w:rsidP="003F4EF4">
            <w:pPr>
              <w:pStyle w:val="ListBullet"/>
            </w:pPr>
            <w:r w:rsidRPr="003F4EF4">
              <w:t>enhanced staff observation, supervision and/or training</w:t>
            </w:r>
          </w:p>
          <w:p w:rsidR="00000000" w:rsidRPr="003F4EF4" w:rsidP="003F4EF4">
            <w:pPr>
              <w:pStyle w:val="ListBullet"/>
            </w:pPr>
            <w:r w:rsidRPr="003F4EF4">
              <w:t>more detailed sa</w:t>
            </w:r>
            <w:r w:rsidRPr="003F4EF4">
              <w:t>mple specifications, test methods and procedures</w:t>
            </w:r>
          </w:p>
          <w:p w:rsidR="00000000" w:rsidP="003F4EF4">
            <w:pPr>
              <w:pStyle w:val="BodyText"/>
              <w:rPr>
                <w:lang w:val="en-NZ"/>
              </w:rPr>
            </w:pPr>
          </w:p>
        </w:tc>
      </w:tr>
      <w:tr w:rsidTr="00CA4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4EF4">
            <w:pPr>
              <w:pStyle w:val="BodyText"/>
              <w:rPr>
                <w:lang w:val="en-NZ"/>
              </w:rPr>
            </w:pPr>
            <w:r w:rsidRPr="003F4EF4">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3F4EF4" w:rsidP="003F4EF4">
            <w:pPr>
              <w:pStyle w:val="BodyText"/>
            </w:pPr>
            <w:r w:rsidRPr="003F4EF4">
              <w:t>WHS and environmental management requirements include:</w:t>
            </w:r>
          </w:p>
          <w:p w:rsidR="00000000" w:rsidRPr="003F4EF4" w:rsidP="003F4EF4">
            <w:pPr>
              <w:pStyle w:val="BodyText"/>
            </w:pPr>
            <w:r w:rsidRPr="003F4EF4">
              <w:rPr>
                <w:rStyle w:val="Symbols"/>
              </w:rPr>
              <w:t></w:t>
            </w:r>
            <w:r w:rsidRPr="003F4EF4">
              <w:rPr>
                <w:rStyle w:val="Symbols"/>
              </w:rPr>
              <w:tab/>
            </w:r>
            <w:r w:rsidRPr="003F4EF4">
              <w:t>complying with WHS and environmental management requirements at all times, which may be i</w:t>
            </w:r>
            <w:r w:rsidRPr="003F4EF4">
              <w:t>mposed through state/territory or federal legislation. These requirements must not be compromised at any time</w:t>
            </w:r>
          </w:p>
          <w:p w:rsidR="00000000" w:rsidRPr="003F4EF4" w:rsidP="003F4EF4">
            <w:pPr>
              <w:pStyle w:val="BodyText"/>
            </w:pPr>
            <w:r w:rsidRPr="003F4EF4">
              <w:rPr>
                <w:rStyle w:val="Symbols"/>
              </w:rPr>
              <w:t></w:t>
            </w:r>
            <w:r w:rsidRPr="003F4EF4">
              <w:rPr>
                <w:rStyle w:val="Symbols"/>
              </w:rPr>
              <w:tab/>
            </w:r>
            <w:r w:rsidRPr="003F4EF4">
              <w:t>applying standard precautions relating to the potentially hazardous nature of samples</w:t>
            </w:r>
          </w:p>
          <w:p w:rsidR="00000000" w:rsidRPr="003F4EF4" w:rsidP="003F4EF4">
            <w:pPr>
              <w:pStyle w:val="ListBullet"/>
            </w:pPr>
            <w:r w:rsidRPr="003F4EF4">
              <w:t xml:space="preserve">accessing and applying current industry understanding of </w:t>
            </w:r>
            <w:r w:rsidRPr="003F4EF4">
              <w:t>infection control issued by the National Health and Medical Research Council (NHMRC) and State and Territory Departments of Health, where relevant</w:t>
            </w:r>
          </w:p>
        </w:tc>
      </w:tr>
    </w:tbl>
    <w:p w:rsidR="00CA42C9" w:rsidP="003F4EF4">
      <w:pPr>
        <w:pStyle w:val="BodyText"/>
      </w:pPr>
    </w:p>
    <w:p w:rsidR="00CA42C9" w:rsidP="003F4EF4">
      <w:pPr>
        <w:pStyle w:val="BodyText"/>
      </w:pPr>
    </w:p>
    <w:p w:rsidR="00000000" w:rsidRPr="003F4EF4" w:rsidP="003F4EF4">
      <w:pPr>
        <w:pStyle w:val="Heading1"/>
      </w:pPr>
      <w:bookmarkStart w:id="9" w:name="O_902295"/>
      <w:bookmarkEnd w:id="9"/>
      <w:r w:rsidRPr="003F4EF4">
        <w:t>Unit Mapping Information</w:t>
      </w:r>
    </w:p>
    <w:p w:rsidR="00000000" w:rsidRPr="003F4EF4" w:rsidP="003F4EF4">
      <w:pPr>
        <w:pStyle w:val="BodyText"/>
      </w:pPr>
      <w:r w:rsidRPr="003F4EF4">
        <w:t>Release 1. Supersedes and is equivalent to MSL935001A Monitor the quality of test results and data</w:t>
      </w:r>
    </w:p>
    <w:p w:rsidR="00000000" w:rsidRPr="003F4EF4" w:rsidP="003F4EF4">
      <w:pPr>
        <w:pStyle w:val="AllowPageBreak"/>
      </w:pPr>
    </w:p>
    <w:p w:rsidR="00000000" w:rsidRPr="003F4EF4" w:rsidP="003F4EF4">
      <w:pPr>
        <w:pStyle w:val="Heading1"/>
      </w:pPr>
      <w:bookmarkStart w:id="10" w:name="O_902288"/>
      <w:bookmarkEnd w:id="10"/>
      <w:r w:rsidRPr="003F4EF4">
        <w:t>Links</w:t>
      </w:r>
    </w:p>
    <w:p w:rsidR="00000000" w:rsidRPr="003F4EF4" w:rsidP="003F4EF4">
      <w:pPr>
        <w:pStyle w:val="BodyText"/>
      </w:pPr>
      <w:r w:rsidRPr="003F4EF4">
        <w:t>MSA Training Package Implementation Guides - http://mskills.org.au/training-packages/info/</w:t>
      </w:r>
    </w:p>
    <w:p w:rsidR="00000000" w:rsidRPr="003F4EF4" w:rsidP="003F4EF4"/>
    <w:sectPr w:rsidSect="003F4E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F4" w:rsidRPr="00CA42C9" w:rsidP="00CA42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2C9" w:rsidP="003F4E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A42C9" w:rsidP="003F4EF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A42C9" w:rsidP="003F4E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F4" w:rsidRPr="00CA42C9" w:rsidP="00CA42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E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2C9" w:rsidRPr="002D2AF8" w:rsidP="003F4EF4">
    <w:pPr>
      <w:pStyle w:val="Header"/>
      <w:framePr w:wrap="around"/>
    </w:pPr>
    <w:r>
      <w:fldChar w:fldCharType="begin"/>
    </w:r>
    <w:r>
      <w:instrText xml:space="preserve"> TITLE   \* MERGEFORMAT </w:instrText>
    </w:r>
    <w:r>
      <w:fldChar w:fldCharType="separate"/>
    </w:r>
    <w:r>
      <w:t>MSL935001 Monitor the quality of test results and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CA42C9" w:rsidP="003F4E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C447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5E94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E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EF4"/>
    <w:pPr>
      <w:spacing w:before="360" w:after="60"/>
      <w:outlineLvl w:val="0"/>
    </w:pPr>
    <w:rPr>
      <w:sz w:val="32"/>
    </w:rPr>
  </w:style>
  <w:style w:type="paragraph" w:styleId="Heading2">
    <w:name w:val="heading 2"/>
    <w:basedOn w:val="HeadingBase"/>
    <w:next w:val="BodyText"/>
    <w:link w:val="Heading2Char"/>
    <w:qFormat/>
    <w:rsid w:val="003F4EF4"/>
    <w:pPr>
      <w:keepLines/>
      <w:spacing w:before="240" w:after="120"/>
      <w:outlineLvl w:val="1"/>
    </w:pPr>
    <w:rPr>
      <w:sz w:val="28"/>
      <w:szCs w:val="40"/>
    </w:rPr>
  </w:style>
  <w:style w:type="paragraph" w:styleId="Heading3">
    <w:name w:val="heading 3"/>
    <w:basedOn w:val="HeadingBase"/>
    <w:next w:val="BodyText"/>
    <w:link w:val="Heading3Char"/>
    <w:qFormat/>
    <w:rsid w:val="003F4EF4"/>
    <w:pPr>
      <w:spacing w:before="180" w:after="120"/>
      <w:outlineLvl w:val="2"/>
    </w:pPr>
    <w:rPr>
      <w:spacing w:val="-10"/>
      <w:kern w:val="32"/>
    </w:rPr>
  </w:style>
  <w:style w:type="paragraph" w:styleId="Heading4">
    <w:name w:val="heading 4"/>
    <w:basedOn w:val="HeadingBase"/>
    <w:next w:val="BodyText"/>
    <w:link w:val="Heading4Char"/>
    <w:qFormat/>
    <w:rsid w:val="003F4EF4"/>
    <w:pPr>
      <w:spacing w:before="160" w:after="120"/>
      <w:outlineLvl w:val="3"/>
    </w:pPr>
    <w:rPr>
      <w:sz w:val="22"/>
    </w:rPr>
  </w:style>
  <w:style w:type="paragraph" w:styleId="Heading5">
    <w:name w:val="heading 5"/>
    <w:basedOn w:val="HeadingBase"/>
    <w:next w:val="Normal"/>
    <w:link w:val="Heading5Char"/>
    <w:qFormat/>
    <w:rsid w:val="003F4EF4"/>
    <w:pPr>
      <w:spacing w:before="80"/>
      <w:outlineLvl w:val="4"/>
    </w:pPr>
    <w:rPr>
      <w:color w:val="918585"/>
      <w:sz w:val="20"/>
    </w:rPr>
  </w:style>
  <w:style w:type="paragraph" w:styleId="Heading6">
    <w:name w:val="heading 6"/>
    <w:basedOn w:val="HeadingBase"/>
    <w:next w:val="Normal"/>
    <w:link w:val="Heading6Char"/>
    <w:qFormat/>
    <w:rsid w:val="003F4EF4"/>
    <w:pPr>
      <w:spacing w:before="60"/>
      <w:outlineLvl w:val="5"/>
    </w:pPr>
    <w:rPr>
      <w:color w:val="918585"/>
      <w:sz w:val="20"/>
    </w:rPr>
  </w:style>
  <w:style w:type="paragraph" w:styleId="Heading7">
    <w:name w:val="heading 7"/>
    <w:basedOn w:val="Normal"/>
    <w:next w:val="Normal"/>
    <w:link w:val="Heading7Char"/>
    <w:qFormat/>
    <w:rsid w:val="003F4EF4"/>
    <w:pPr>
      <w:ind w:left="720"/>
      <w:outlineLvl w:val="6"/>
    </w:pPr>
    <w:rPr>
      <w:i/>
    </w:rPr>
  </w:style>
  <w:style w:type="paragraph" w:styleId="Heading8">
    <w:name w:val="heading 8"/>
    <w:basedOn w:val="Normal"/>
    <w:next w:val="Normal"/>
    <w:link w:val="Heading8Char"/>
    <w:qFormat/>
    <w:rsid w:val="003F4EF4"/>
    <w:pPr>
      <w:ind w:left="720"/>
      <w:outlineLvl w:val="7"/>
    </w:pPr>
    <w:rPr>
      <w:i/>
    </w:rPr>
  </w:style>
  <w:style w:type="paragraph" w:styleId="Heading9">
    <w:name w:val="heading 9"/>
    <w:basedOn w:val="Normal"/>
    <w:next w:val="Normal"/>
    <w:link w:val="Heading9Char"/>
    <w:qFormat/>
    <w:rsid w:val="003F4EF4"/>
    <w:pPr>
      <w:ind w:left="720"/>
      <w:outlineLvl w:val="8"/>
    </w:pPr>
    <w:rPr>
      <w:i/>
    </w:rPr>
  </w:style>
  <w:style w:type="character" w:default="1" w:styleId="DefaultParagraphFont">
    <w:name w:val="Default Paragraph Font"/>
    <w:uiPriority w:val="1"/>
    <w:unhideWhenUsed/>
    <w:rsid w:val="003F4E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EF4"/>
  </w:style>
  <w:style w:type="character" w:customStyle="1" w:styleId="Heading1Char">
    <w:name w:val="Heading 1 Char"/>
    <w:basedOn w:val="DefaultParagraphFont"/>
    <w:link w:val="Heading1"/>
    <w:rsid w:val="003F4EF4"/>
    <w:rPr>
      <w:rFonts w:ascii="Times New Roman" w:eastAsia="Times New Roman" w:hAnsi="Times New Roman" w:cs="Times New Roman"/>
      <w:b/>
      <w:sz w:val="32"/>
      <w:szCs w:val="20"/>
      <w:lang w:eastAsia="en-US"/>
    </w:rPr>
  </w:style>
  <w:style w:type="paragraph" w:styleId="BodyText">
    <w:name w:val="Body Text"/>
    <w:basedOn w:val="Normal"/>
    <w:link w:val="BodyTextChar"/>
    <w:rsid w:val="003F4E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4EF4"/>
    <w:rPr>
      <w:rFonts w:ascii="Times New Roman" w:eastAsia="Times New Roman" w:hAnsi="Times New Roman" w:cs="Times New Roman"/>
      <w:sz w:val="24"/>
      <w:lang w:eastAsia="en-US"/>
    </w:rPr>
  </w:style>
  <w:style w:type="paragraph" w:styleId="ListBullet">
    <w:name w:val="List Bullet"/>
    <w:basedOn w:val="List"/>
    <w:rsid w:val="003F4EF4"/>
    <w:pPr>
      <w:numPr>
        <w:numId w:val="12"/>
      </w:numPr>
      <w:tabs>
        <w:tab w:val="clear" w:pos="340"/>
      </w:tabs>
      <w:spacing w:before="40" w:after="40"/>
    </w:pPr>
  </w:style>
  <w:style w:type="character" w:customStyle="1" w:styleId="SpecialBold">
    <w:name w:val="Special Bold"/>
    <w:basedOn w:val="DefaultParagraphFont"/>
    <w:rsid w:val="003F4EF4"/>
    <w:rPr>
      <w:b/>
      <w:spacing w:val="0"/>
    </w:rPr>
  </w:style>
  <w:style w:type="paragraph" w:customStyle="1" w:styleId="SuperHeading">
    <w:name w:val="SuperHeading"/>
    <w:basedOn w:val="Normal"/>
    <w:rsid w:val="003F4EF4"/>
    <w:pPr>
      <w:spacing w:before="240" w:after="120"/>
      <w:outlineLvl w:val="0"/>
    </w:pPr>
    <w:rPr>
      <w:rFonts w:ascii="Times New Roman" w:hAnsi="Times New Roman"/>
      <w:b/>
      <w:sz w:val="32"/>
    </w:rPr>
  </w:style>
  <w:style w:type="paragraph" w:customStyle="1" w:styleId="AllowPageBreak">
    <w:name w:val="AllowPageBreak"/>
    <w:rsid w:val="003F4E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3F4EF4"/>
    <w:rPr>
      <w:rFonts w:ascii="Symbol" w:hAnsi="Symbol"/>
    </w:rPr>
  </w:style>
  <w:style w:type="character" w:customStyle="1" w:styleId="Heading2Char">
    <w:name w:val="Heading 2 Char"/>
    <w:basedOn w:val="DefaultParagraphFont"/>
    <w:link w:val="Heading2"/>
    <w:rsid w:val="003F4E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E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E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E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E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E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E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EF4"/>
    <w:rPr>
      <w:rFonts w:ascii="Courier New" w:eastAsia="Times New Roman" w:hAnsi="Courier New" w:cs="Times New Roman"/>
      <w:i/>
      <w:szCs w:val="20"/>
      <w:lang w:eastAsia="en-US"/>
    </w:rPr>
  </w:style>
  <w:style w:type="paragraph" w:customStyle="1" w:styleId="HeadingBase">
    <w:name w:val="Heading Base"/>
    <w:rsid w:val="003F4E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EF4"/>
    <w:pPr>
      <w:tabs>
        <w:tab w:val="right" w:leader="dot" w:pos="9072"/>
      </w:tabs>
      <w:ind w:left="567"/>
    </w:pPr>
    <w:rPr>
      <w:szCs w:val="22"/>
    </w:rPr>
  </w:style>
  <w:style w:type="paragraph" w:customStyle="1" w:styleId="TOCBase">
    <w:name w:val="TOC Base"/>
    <w:rsid w:val="003F4E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EF4"/>
    <w:pPr>
      <w:tabs>
        <w:tab w:val="right" w:leader="dot" w:pos="9072"/>
      </w:tabs>
      <w:spacing w:before="40" w:after="40"/>
      <w:ind w:left="284"/>
    </w:pPr>
    <w:rPr>
      <w:rFonts w:ascii="Times New Roman" w:hAnsi="Times New Roman"/>
    </w:rPr>
  </w:style>
  <w:style w:type="paragraph" w:styleId="TOC1">
    <w:name w:val="toc 1"/>
    <w:basedOn w:val="TOCBase"/>
    <w:next w:val="Normal"/>
    <w:rsid w:val="003F4E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4E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EF4"/>
    <w:rPr>
      <w:rFonts w:ascii="Times New Roman" w:eastAsia="Times New Roman" w:hAnsi="Times New Roman" w:cs="Times New Roman"/>
      <w:sz w:val="16"/>
      <w:lang w:eastAsia="en-US"/>
    </w:rPr>
  </w:style>
  <w:style w:type="paragraph" w:styleId="Title">
    <w:name w:val="Title"/>
    <w:basedOn w:val="HeadingBase"/>
    <w:link w:val="TitleChar"/>
    <w:qFormat/>
    <w:rsid w:val="003F4EF4"/>
    <w:pPr>
      <w:spacing w:before="5040"/>
      <w:jc w:val="center"/>
    </w:pPr>
    <w:rPr>
      <w:sz w:val="48"/>
      <w:szCs w:val="72"/>
      <w:lang w:val="en-US"/>
    </w:rPr>
  </w:style>
  <w:style w:type="character" w:customStyle="1" w:styleId="TitleChar">
    <w:name w:val="Title Char"/>
    <w:basedOn w:val="DefaultParagraphFont"/>
    <w:link w:val="Title"/>
    <w:rsid w:val="003F4E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EF4"/>
    <w:pPr>
      <w:tabs>
        <w:tab w:val="left" w:pos="3600"/>
        <w:tab w:val="left" w:pos="3958"/>
      </w:tabs>
    </w:pPr>
  </w:style>
  <w:style w:type="paragraph" w:styleId="List">
    <w:name w:val="List"/>
    <w:basedOn w:val="BodyText"/>
    <w:next w:val="BodyText"/>
    <w:rsid w:val="003F4EF4"/>
    <w:pPr>
      <w:tabs>
        <w:tab w:val="left" w:pos="340"/>
      </w:tabs>
      <w:spacing w:before="60" w:after="60"/>
      <w:ind w:left="340" w:hanging="340"/>
    </w:pPr>
  </w:style>
  <w:style w:type="paragraph" w:customStyle="1" w:styleId="Note">
    <w:name w:val="Note"/>
    <w:basedOn w:val="BodyText"/>
    <w:rsid w:val="003F4E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EF4"/>
    <w:pPr>
      <w:framePr w:wrap="auto" w:hAnchor="text" w:y="6049"/>
    </w:pPr>
    <w:rPr>
      <w:color w:val="000000"/>
      <w:sz w:val="40"/>
    </w:rPr>
  </w:style>
  <w:style w:type="paragraph" w:customStyle="1" w:styleId="TOCTitle">
    <w:name w:val="TOCTitle"/>
    <w:basedOn w:val="Heading1"/>
    <w:rsid w:val="003F4EF4"/>
    <w:pPr>
      <w:spacing w:after="240"/>
      <w:jc w:val="center"/>
      <w:outlineLvl w:val="9"/>
    </w:pPr>
    <w:rPr>
      <w:caps/>
    </w:rPr>
  </w:style>
  <w:style w:type="paragraph" w:customStyle="1" w:styleId="Version">
    <w:name w:val="Version"/>
    <w:rsid w:val="003F4E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4EF4"/>
    <w:pPr>
      <w:numPr>
        <w:numId w:val="13"/>
      </w:numPr>
      <w:tabs>
        <w:tab w:val="clear" w:pos="680"/>
      </w:tabs>
    </w:pPr>
  </w:style>
  <w:style w:type="paragraph" w:styleId="Index1">
    <w:name w:val="index 1"/>
    <w:basedOn w:val="Normal"/>
    <w:next w:val="Normal"/>
    <w:semiHidden/>
    <w:rsid w:val="003F4EF4"/>
    <w:pPr>
      <w:keepNext w:val="0"/>
      <w:tabs>
        <w:tab w:val="right" w:pos="4176"/>
      </w:tabs>
      <w:ind w:left="198" w:hanging="198"/>
    </w:pPr>
    <w:rPr>
      <w:rFonts w:ascii="Garamond" w:hAnsi="Garamond"/>
    </w:rPr>
  </w:style>
  <w:style w:type="paragraph" w:styleId="IndexHeading">
    <w:name w:val="index heading"/>
    <w:basedOn w:val="Normal"/>
    <w:next w:val="Index1"/>
    <w:semiHidden/>
    <w:rsid w:val="003F4EF4"/>
    <w:pPr>
      <w:spacing w:before="120" w:after="120"/>
    </w:pPr>
    <w:rPr>
      <w:rFonts w:ascii="Arial" w:hAnsi="Arial"/>
      <w:b/>
      <w:color w:val="918585"/>
      <w:sz w:val="24"/>
    </w:rPr>
  </w:style>
  <w:style w:type="paragraph" w:styleId="Header">
    <w:name w:val="header"/>
    <w:basedOn w:val="Normal"/>
    <w:link w:val="HeaderChar"/>
    <w:rsid w:val="003F4E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EF4"/>
    <w:rPr>
      <w:rFonts w:ascii="Times New Roman" w:eastAsia="Times New Roman" w:hAnsi="Times New Roman" w:cs="Times New Roman"/>
      <w:sz w:val="16"/>
      <w:szCs w:val="20"/>
      <w:lang w:val="en-GB" w:eastAsia="en-US"/>
    </w:rPr>
  </w:style>
  <w:style w:type="paragraph" w:customStyle="1" w:styleId="Chapter">
    <w:name w:val="Chapter"/>
    <w:basedOn w:val="Normal"/>
    <w:rsid w:val="003F4EF4"/>
    <w:pPr>
      <w:spacing w:before="240"/>
    </w:pPr>
    <w:rPr>
      <w:rFonts w:ascii="Times New Roman" w:hAnsi="Times New Roman"/>
      <w:smallCaps/>
      <w:spacing w:val="80"/>
      <w:sz w:val="28"/>
    </w:rPr>
  </w:style>
  <w:style w:type="paragraph" w:customStyle="1" w:styleId="InChapter">
    <w:name w:val="InChapter"/>
    <w:basedOn w:val="Heading3"/>
    <w:rsid w:val="003F4EF4"/>
    <w:pPr>
      <w:spacing w:after="240"/>
      <w:outlineLvl w:val="9"/>
    </w:pPr>
    <w:rPr>
      <w:noProof/>
    </w:rPr>
  </w:style>
  <w:style w:type="paragraph" w:styleId="Index2">
    <w:name w:val="index 2"/>
    <w:basedOn w:val="Normal"/>
    <w:next w:val="Normal"/>
    <w:semiHidden/>
    <w:rsid w:val="003F4EF4"/>
    <w:pPr>
      <w:tabs>
        <w:tab w:val="right" w:pos="4176"/>
      </w:tabs>
      <w:ind w:left="568" w:hanging="284"/>
    </w:pPr>
    <w:rPr>
      <w:rFonts w:ascii="Garamond" w:hAnsi="Garamond"/>
    </w:rPr>
  </w:style>
  <w:style w:type="paragraph" w:customStyle="1" w:styleId="Byline">
    <w:name w:val="Byline"/>
    <w:rsid w:val="003F4E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EF4"/>
    <w:pPr>
      <w:tabs>
        <w:tab w:val="clear" w:pos="3600"/>
        <w:tab w:val="clear" w:pos="3958"/>
      </w:tabs>
      <w:jc w:val="right"/>
    </w:pPr>
  </w:style>
  <w:style w:type="character" w:styleId="Emphasis">
    <w:name w:val="Emphasis"/>
    <w:basedOn w:val="DefaultParagraphFont"/>
    <w:qFormat/>
    <w:rsid w:val="003F4EF4"/>
    <w:rPr>
      <w:i/>
    </w:rPr>
  </w:style>
  <w:style w:type="paragraph" w:styleId="Caption">
    <w:name w:val="caption"/>
    <w:basedOn w:val="BodyText"/>
    <w:next w:val="Normal"/>
    <w:qFormat/>
    <w:rsid w:val="003F4EF4"/>
    <w:pPr>
      <w:framePr w:w="2268" w:hSpace="181" w:vSpace="181" w:wrap="around" w:vAnchor="text" w:hAnchor="page" w:x="1135" w:y="285" w:anchorLock="1"/>
    </w:pPr>
    <w:rPr>
      <w:i/>
    </w:rPr>
  </w:style>
  <w:style w:type="paragraph" w:customStyle="1" w:styleId="MiniTOCTitle">
    <w:name w:val="MiniTOCTitle"/>
    <w:basedOn w:val="Heading4"/>
    <w:rsid w:val="003F4EF4"/>
    <w:pPr>
      <w:spacing w:before="240"/>
      <w:outlineLvl w:val="9"/>
    </w:pPr>
    <w:rPr>
      <w:noProof/>
      <w:sz w:val="24"/>
    </w:rPr>
  </w:style>
  <w:style w:type="paragraph" w:customStyle="1" w:styleId="MiniTOCItem">
    <w:name w:val="MiniTOCItem"/>
    <w:basedOn w:val="ListBullet"/>
    <w:rsid w:val="003F4EF4"/>
    <w:pPr>
      <w:numPr>
        <w:numId w:val="0"/>
      </w:numPr>
      <w:tabs>
        <w:tab w:val="right" w:leader="dot" w:pos="6521"/>
      </w:tabs>
      <w:spacing w:before="0" w:after="0"/>
    </w:pPr>
  </w:style>
  <w:style w:type="paragraph" w:customStyle="1" w:styleId="TOFTitle">
    <w:name w:val="TOFTitle"/>
    <w:basedOn w:val="TOCTitle"/>
    <w:rsid w:val="003F4EF4"/>
  </w:style>
  <w:style w:type="paragraph" w:styleId="TableofFigures">
    <w:name w:val="table of figures"/>
    <w:basedOn w:val="Normal"/>
    <w:next w:val="Normal"/>
    <w:semiHidden/>
    <w:rsid w:val="003F4EF4"/>
    <w:pPr>
      <w:tabs>
        <w:tab w:val="right" w:leader="dot" w:pos="9072"/>
      </w:tabs>
      <w:ind w:left="970" w:hanging="403"/>
    </w:pPr>
    <w:rPr>
      <w:rFonts w:ascii="Times New Roman" w:hAnsi="Times New Roman"/>
      <w:b/>
    </w:rPr>
  </w:style>
  <w:style w:type="paragraph" w:styleId="ListNumber">
    <w:name w:val="List Number"/>
    <w:basedOn w:val="List"/>
    <w:rsid w:val="003F4EF4"/>
    <w:pPr>
      <w:numPr>
        <w:numId w:val="10"/>
      </w:numPr>
    </w:pPr>
  </w:style>
  <w:style w:type="character" w:customStyle="1" w:styleId="WingdingSymbols">
    <w:name w:val="Wingding Symbols"/>
    <w:rsid w:val="003F4EF4"/>
    <w:rPr>
      <w:rFonts w:ascii="Wingdings" w:hAnsi="Wingdings"/>
    </w:rPr>
  </w:style>
  <w:style w:type="paragraph" w:customStyle="1" w:styleId="TableHeading">
    <w:name w:val="Table Heading"/>
    <w:basedOn w:val="HeadingBase"/>
    <w:rsid w:val="003F4EF4"/>
    <w:pPr>
      <w:keepLines/>
      <w:pBdr>
        <w:bottom w:val="single" w:sz="6" w:space="1" w:color="918585"/>
      </w:pBdr>
      <w:spacing w:before="240"/>
    </w:pPr>
  </w:style>
  <w:style w:type="character" w:customStyle="1" w:styleId="HotSpot">
    <w:name w:val="HotSpot"/>
    <w:rsid w:val="003F4EF4"/>
    <w:rPr>
      <w:color w:val="0033CC"/>
      <w:u w:val="none"/>
    </w:rPr>
  </w:style>
  <w:style w:type="paragraph" w:customStyle="1" w:styleId="BodyTextRight">
    <w:name w:val="Body Text Right"/>
    <w:basedOn w:val="BodyText"/>
    <w:rsid w:val="003F4EF4"/>
    <w:pPr>
      <w:spacing w:before="0" w:after="0"/>
      <w:jc w:val="right"/>
    </w:pPr>
  </w:style>
  <w:style w:type="paragraph" w:styleId="Index3">
    <w:name w:val="index 3"/>
    <w:basedOn w:val="ListNumber2"/>
    <w:next w:val="Normal"/>
    <w:semiHidden/>
    <w:rsid w:val="003F4EF4"/>
    <w:pPr>
      <w:numPr>
        <w:numId w:val="0"/>
      </w:numPr>
      <w:tabs>
        <w:tab w:val="right" w:leader="dot" w:pos="4176"/>
      </w:tabs>
    </w:pPr>
  </w:style>
  <w:style w:type="paragraph" w:styleId="ListNumber2">
    <w:name w:val="List Number 2"/>
    <w:basedOn w:val="List2"/>
    <w:rsid w:val="003F4EF4"/>
    <w:pPr>
      <w:numPr>
        <w:numId w:val="9"/>
      </w:numPr>
      <w:tabs>
        <w:tab w:val="clear" w:pos="1060"/>
      </w:tabs>
    </w:pPr>
  </w:style>
  <w:style w:type="paragraph" w:customStyle="1" w:styleId="MarginNote">
    <w:name w:val="Margin Note"/>
    <w:basedOn w:val="BodyText"/>
    <w:rsid w:val="003F4E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E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E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EF4"/>
    <w:rPr>
      <w:sz w:val="32"/>
    </w:rPr>
  </w:style>
  <w:style w:type="paragraph" w:customStyle="1" w:styleId="HeadingProcedure">
    <w:name w:val="Heading Procedure"/>
    <w:basedOn w:val="HeadingBase"/>
    <w:next w:val="Normal"/>
    <w:rsid w:val="003F4EF4"/>
    <w:pPr>
      <w:tabs>
        <w:tab w:val="left" w:pos="0"/>
      </w:tabs>
      <w:spacing w:before="120" w:after="60"/>
    </w:pPr>
    <w:rPr>
      <w:i/>
      <w:color w:val="918585"/>
      <w:sz w:val="22"/>
    </w:rPr>
  </w:style>
  <w:style w:type="paragraph" w:customStyle="1" w:styleId="TableBodyText">
    <w:name w:val="Table Body Text"/>
    <w:basedOn w:val="BodyText"/>
    <w:rsid w:val="003F4EF4"/>
    <w:pPr>
      <w:spacing w:before="60" w:after="60"/>
    </w:pPr>
  </w:style>
  <w:style w:type="paragraph" w:styleId="ListContinue">
    <w:name w:val="List Continue"/>
    <w:basedOn w:val="List"/>
    <w:rsid w:val="003F4EF4"/>
    <w:pPr>
      <w:ind w:firstLine="0"/>
    </w:pPr>
  </w:style>
  <w:style w:type="paragraph" w:customStyle="1" w:styleId="ListNote">
    <w:name w:val="List Note"/>
    <w:basedOn w:val="List"/>
    <w:rsid w:val="003F4EF4"/>
    <w:pPr>
      <w:pBdr>
        <w:top w:val="single" w:sz="6" w:space="2" w:color="918585"/>
        <w:bottom w:val="single" w:sz="6" w:space="2" w:color="918585"/>
      </w:pBdr>
      <w:tabs>
        <w:tab w:val="left" w:pos="1021"/>
      </w:tabs>
      <w:ind w:firstLine="0"/>
    </w:pPr>
  </w:style>
  <w:style w:type="paragraph" w:customStyle="1" w:styleId="Warning">
    <w:name w:val="Warning"/>
    <w:basedOn w:val="BodyText"/>
    <w:rsid w:val="003F4EF4"/>
    <w:pPr>
      <w:shd w:val="clear" w:color="auto" w:fill="D9D9D9"/>
      <w:tabs>
        <w:tab w:val="left" w:pos="992"/>
      </w:tabs>
      <w:ind w:left="119" w:right="119"/>
    </w:pPr>
    <w:rPr>
      <w:sz w:val="20"/>
    </w:rPr>
  </w:style>
  <w:style w:type="paragraph" w:customStyle="1" w:styleId="MarginIcons">
    <w:name w:val="Margin Icons"/>
    <w:basedOn w:val="BodyText"/>
    <w:rsid w:val="003F4E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EF4"/>
    <w:rPr>
      <w:rFonts w:ascii="Courier New" w:hAnsi="Courier New"/>
    </w:rPr>
  </w:style>
  <w:style w:type="paragraph" w:customStyle="1" w:styleId="NoteBullet">
    <w:name w:val="Note Bullet"/>
    <w:basedOn w:val="Note"/>
    <w:rsid w:val="003F4EF4"/>
    <w:pPr>
      <w:tabs>
        <w:tab w:val="clear" w:pos="680"/>
      </w:tabs>
      <w:spacing w:before="60" w:after="60"/>
    </w:pPr>
  </w:style>
  <w:style w:type="paragraph" w:customStyle="1" w:styleId="SubHeading2">
    <w:name w:val="SubHeading2"/>
    <w:basedOn w:val="HeadingBase"/>
    <w:rsid w:val="003F4EF4"/>
    <w:pPr>
      <w:spacing w:before="240" w:after="60"/>
    </w:pPr>
    <w:rPr>
      <w:sz w:val="20"/>
    </w:rPr>
  </w:style>
  <w:style w:type="paragraph" w:customStyle="1" w:styleId="SubHeading1">
    <w:name w:val="SubHeading1"/>
    <w:basedOn w:val="HeadingBase"/>
    <w:rsid w:val="003F4EF4"/>
    <w:pPr>
      <w:spacing w:before="240" w:after="60"/>
    </w:pPr>
    <w:rPr>
      <w:color w:val="918585"/>
      <w:sz w:val="22"/>
    </w:rPr>
  </w:style>
  <w:style w:type="paragraph" w:customStyle="1" w:styleId="SideHeading">
    <w:name w:val="Side Heading"/>
    <w:basedOn w:val="HeadingBase"/>
    <w:rsid w:val="003F4E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EF4"/>
    <w:pPr>
      <w:tabs>
        <w:tab w:val="num" w:pos="360"/>
      </w:tabs>
    </w:pPr>
  </w:style>
  <w:style w:type="paragraph" w:styleId="PlainText">
    <w:name w:val="Plain Text"/>
    <w:basedOn w:val="Normal"/>
    <w:link w:val="PlainTextChar"/>
    <w:rsid w:val="003F4EF4"/>
    <w:rPr>
      <w:sz w:val="20"/>
    </w:rPr>
  </w:style>
  <w:style w:type="character" w:customStyle="1" w:styleId="PlainTextChar">
    <w:name w:val="Plain Text Char"/>
    <w:basedOn w:val="DefaultParagraphFont"/>
    <w:link w:val="PlainText"/>
    <w:rsid w:val="003F4EF4"/>
    <w:rPr>
      <w:rFonts w:ascii="Courier New" w:eastAsia="Times New Roman" w:hAnsi="Courier New" w:cs="Times New Roman"/>
      <w:sz w:val="20"/>
      <w:szCs w:val="20"/>
      <w:lang w:eastAsia="en-US"/>
    </w:rPr>
  </w:style>
  <w:style w:type="character" w:customStyle="1" w:styleId="MenuOption">
    <w:name w:val="Menu Option"/>
    <w:basedOn w:val="DefaultParagraphFont"/>
    <w:rsid w:val="003F4EF4"/>
    <w:rPr>
      <w:b/>
      <w:smallCaps/>
    </w:rPr>
  </w:style>
  <w:style w:type="paragraph" w:customStyle="1" w:styleId="TableListNumber">
    <w:name w:val="Table List Number"/>
    <w:basedOn w:val="ListNumber"/>
    <w:rsid w:val="003F4EF4"/>
    <w:pPr>
      <w:numPr>
        <w:numId w:val="0"/>
      </w:numPr>
    </w:pPr>
  </w:style>
  <w:style w:type="paragraph" w:styleId="TOC4">
    <w:name w:val="toc 4"/>
    <w:basedOn w:val="TOCBase"/>
    <w:next w:val="Normal"/>
    <w:semiHidden/>
    <w:rsid w:val="003F4EF4"/>
    <w:pPr>
      <w:tabs>
        <w:tab w:val="right" w:leader="dot" w:pos="9071"/>
      </w:tabs>
      <w:ind w:left="1701"/>
    </w:pPr>
  </w:style>
  <w:style w:type="paragraph" w:customStyle="1" w:styleId="ListAlpha">
    <w:name w:val="List Alpha"/>
    <w:basedOn w:val="List"/>
    <w:rsid w:val="003F4EF4"/>
    <w:pPr>
      <w:numPr>
        <w:numId w:val="8"/>
      </w:numPr>
    </w:pPr>
  </w:style>
  <w:style w:type="paragraph" w:customStyle="1" w:styleId="ListAlpha2">
    <w:name w:val="List Alpha 2"/>
    <w:basedOn w:val="List2"/>
    <w:rsid w:val="003F4EF4"/>
    <w:pPr>
      <w:numPr>
        <w:numId w:val="7"/>
      </w:numPr>
    </w:pPr>
  </w:style>
  <w:style w:type="paragraph" w:styleId="List2">
    <w:name w:val="List 2"/>
    <w:basedOn w:val="BodyText"/>
    <w:rsid w:val="003F4EF4"/>
    <w:pPr>
      <w:tabs>
        <w:tab w:val="left" w:pos="680"/>
      </w:tabs>
      <w:spacing w:before="60" w:after="60"/>
      <w:ind w:left="680" w:hanging="340"/>
    </w:pPr>
  </w:style>
  <w:style w:type="paragraph" w:styleId="List3">
    <w:name w:val="List 3"/>
    <w:basedOn w:val="BodyText"/>
    <w:rsid w:val="003F4EF4"/>
    <w:pPr>
      <w:tabs>
        <w:tab w:val="left" w:pos="1021"/>
      </w:tabs>
      <w:spacing w:before="60" w:after="60"/>
      <w:ind w:left="1020" w:hanging="340"/>
    </w:pPr>
  </w:style>
  <w:style w:type="paragraph" w:styleId="List4">
    <w:name w:val="List 4"/>
    <w:basedOn w:val="BodyText"/>
    <w:rsid w:val="003F4EF4"/>
    <w:pPr>
      <w:tabs>
        <w:tab w:val="left" w:pos="1361"/>
      </w:tabs>
      <w:spacing w:before="60" w:after="60"/>
      <w:ind w:left="1361" w:hanging="340"/>
    </w:pPr>
  </w:style>
  <w:style w:type="paragraph" w:styleId="List5">
    <w:name w:val="List 5"/>
    <w:basedOn w:val="BodyText"/>
    <w:rsid w:val="003F4EF4"/>
    <w:pPr>
      <w:tabs>
        <w:tab w:val="left" w:pos="1701"/>
      </w:tabs>
      <w:spacing w:before="60" w:after="60"/>
      <w:ind w:left="1701" w:hanging="340"/>
    </w:pPr>
  </w:style>
  <w:style w:type="paragraph" w:styleId="ListBullet3">
    <w:name w:val="List Bullet 3"/>
    <w:basedOn w:val="List3"/>
    <w:rsid w:val="003F4EF4"/>
    <w:pPr>
      <w:numPr>
        <w:numId w:val="14"/>
      </w:numPr>
      <w:tabs>
        <w:tab w:val="clear" w:pos="1021"/>
      </w:tabs>
      <w:ind w:left="1037" w:hanging="357"/>
    </w:pPr>
  </w:style>
  <w:style w:type="paragraph" w:styleId="ListBullet4">
    <w:name w:val="List Bullet 4"/>
    <w:basedOn w:val="List4"/>
    <w:rsid w:val="003F4EF4"/>
    <w:pPr>
      <w:numPr>
        <w:numId w:val="2"/>
      </w:numPr>
      <w:tabs>
        <w:tab w:val="clear" w:pos="1361"/>
      </w:tabs>
    </w:pPr>
  </w:style>
  <w:style w:type="paragraph" w:styleId="ListBullet5">
    <w:name w:val="List Bullet 5"/>
    <w:basedOn w:val="List5"/>
    <w:rsid w:val="003F4EF4"/>
    <w:pPr>
      <w:numPr>
        <w:numId w:val="3"/>
      </w:numPr>
    </w:pPr>
  </w:style>
  <w:style w:type="paragraph" w:styleId="ListContinue2">
    <w:name w:val="List Continue 2"/>
    <w:basedOn w:val="List2"/>
    <w:rsid w:val="003F4EF4"/>
    <w:pPr>
      <w:ind w:firstLine="0"/>
    </w:pPr>
  </w:style>
  <w:style w:type="paragraph" w:styleId="ListContinue3">
    <w:name w:val="List Continue 3"/>
    <w:basedOn w:val="List3"/>
    <w:rsid w:val="003F4EF4"/>
    <w:pPr>
      <w:ind w:left="1021" w:firstLine="0"/>
    </w:pPr>
  </w:style>
  <w:style w:type="paragraph" w:styleId="ListContinue4">
    <w:name w:val="List Continue 4"/>
    <w:basedOn w:val="List4"/>
    <w:rsid w:val="003F4EF4"/>
    <w:pPr>
      <w:ind w:firstLine="0"/>
    </w:pPr>
  </w:style>
  <w:style w:type="paragraph" w:styleId="ListContinue5">
    <w:name w:val="List Continue 5"/>
    <w:basedOn w:val="List5"/>
    <w:rsid w:val="003F4EF4"/>
    <w:pPr>
      <w:ind w:firstLine="0"/>
    </w:pPr>
  </w:style>
  <w:style w:type="paragraph" w:styleId="ListNumber3">
    <w:name w:val="List Number 3"/>
    <w:basedOn w:val="List3"/>
    <w:rsid w:val="003F4EF4"/>
    <w:pPr>
      <w:numPr>
        <w:numId w:val="4"/>
      </w:numPr>
    </w:pPr>
  </w:style>
  <w:style w:type="paragraph" w:styleId="ListNumber4">
    <w:name w:val="List Number 4"/>
    <w:basedOn w:val="List4"/>
    <w:rsid w:val="003F4EF4"/>
    <w:pPr>
      <w:numPr>
        <w:numId w:val="5"/>
      </w:numPr>
    </w:pPr>
  </w:style>
  <w:style w:type="paragraph" w:styleId="ListNumber5">
    <w:name w:val="List Number 5"/>
    <w:basedOn w:val="List5"/>
    <w:rsid w:val="003F4EF4"/>
    <w:pPr>
      <w:numPr>
        <w:numId w:val="6"/>
      </w:numPr>
    </w:pPr>
  </w:style>
  <w:style w:type="paragraph" w:styleId="BlockText">
    <w:name w:val="Block Text"/>
    <w:basedOn w:val="Normal"/>
    <w:rsid w:val="003F4EF4"/>
    <w:pPr>
      <w:spacing w:after="120"/>
      <w:ind w:left="1440" w:right="1440"/>
    </w:pPr>
  </w:style>
  <w:style w:type="character" w:customStyle="1" w:styleId="Subscript">
    <w:name w:val="Subscript"/>
    <w:basedOn w:val="DefaultParagraphFont"/>
    <w:rsid w:val="003F4EF4"/>
    <w:rPr>
      <w:sz w:val="16"/>
      <w:vertAlign w:val="subscript"/>
    </w:rPr>
  </w:style>
  <w:style w:type="character" w:customStyle="1" w:styleId="Superscript">
    <w:name w:val="Superscript"/>
    <w:basedOn w:val="DefaultParagraphFont"/>
    <w:rsid w:val="003F4EF4"/>
    <w:rPr>
      <w:sz w:val="16"/>
      <w:vertAlign w:val="superscript"/>
    </w:rPr>
  </w:style>
  <w:style w:type="character" w:customStyle="1" w:styleId="MenuOptions">
    <w:name w:val="Menu Options"/>
    <w:basedOn w:val="DefaultParagraphFont"/>
    <w:rsid w:val="003F4EF4"/>
    <w:rPr>
      <w:rFonts w:ascii="Arial Narrow" w:hAnsi="Arial Narrow"/>
      <w:smallCaps/>
    </w:rPr>
  </w:style>
  <w:style w:type="character" w:customStyle="1" w:styleId="Buttons">
    <w:name w:val="Buttons"/>
    <w:basedOn w:val="DefaultParagraphFont"/>
    <w:rsid w:val="003F4EF4"/>
    <w:rPr>
      <w:b/>
    </w:rPr>
  </w:style>
  <w:style w:type="character" w:customStyle="1" w:styleId="Underlined">
    <w:name w:val="Underlined"/>
    <w:basedOn w:val="DefaultParagraphFont"/>
    <w:rsid w:val="003F4EF4"/>
    <w:rPr>
      <w:u w:val="single"/>
    </w:rPr>
  </w:style>
  <w:style w:type="paragraph" w:customStyle="1" w:styleId="TableBodyTextRight">
    <w:name w:val="Table Body Text Right"/>
    <w:basedOn w:val="TableBodyText"/>
    <w:rsid w:val="003F4EF4"/>
    <w:pPr>
      <w:widowControl w:val="0"/>
      <w:autoSpaceDE w:val="0"/>
      <w:autoSpaceDN w:val="0"/>
      <w:adjustRightInd w:val="0"/>
      <w:jc w:val="right"/>
    </w:pPr>
    <w:rPr>
      <w:rFonts w:cs="Arial"/>
      <w:szCs w:val="18"/>
    </w:rPr>
  </w:style>
  <w:style w:type="paragraph" w:customStyle="1" w:styleId="CopyrightText">
    <w:name w:val="Copyright Text"/>
    <w:basedOn w:val="BodyText"/>
    <w:rsid w:val="003F4EF4"/>
    <w:rPr>
      <w:sz w:val="18"/>
    </w:rPr>
  </w:style>
  <w:style w:type="paragraph" w:customStyle="1" w:styleId="BodySmallRight">
    <w:name w:val="Body Small Right"/>
    <w:basedOn w:val="BodyTextRight"/>
    <w:rsid w:val="003F4EF4"/>
    <w:rPr>
      <w:sz w:val="18"/>
      <w:szCs w:val="18"/>
    </w:rPr>
  </w:style>
  <w:style w:type="paragraph" w:customStyle="1" w:styleId="MarginEdition">
    <w:name w:val="Margin Edition"/>
    <w:basedOn w:val="MarginNote"/>
    <w:rsid w:val="003F4EF4"/>
    <w:pPr>
      <w:spacing w:before="0" w:after="0"/>
    </w:pPr>
    <w:rPr>
      <w:rFonts w:ascii="Times New Roman" w:hAnsi="Times New Roman"/>
      <w:color w:val="999999"/>
    </w:rPr>
  </w:style>
  <w:style w:type="paragraph" w:customStyle="1" w:styleId="Spacer">
    <w:name w:val="Spacer"/>
    <w:basedOn w:val="Normal"/>
    <w:rsid w:val="003F4EF4"/>
    <w:rPr>
      <w:sz w:val="2"/>
      <w:szCs w:val="2"/>
    </w:rPr>
  </w:style>
  <w:style w:type="character" w:customStyle="1" w:styleId="Small">
    <w:name w:val="Small"/>
    <w:basedOn w:val="DefaultParagraphFont"/>
    <w:rsid w:val="003F4EF4"/>
    <w:rPr>
      <w:sz w:val="16"/>
    </w:rPr>
  </w:style>
  <w:style w:type="paragraph" w:customStyle="1" w:styleId="WideTable">
    <w:name w:val="Wide Table"/>
    <w:basedOn w:val="Normal"/>
    <w:rsid w:val="003F4EF4"/>
    <w:pPr>
      <w:ind w:left="-1418"/>
    </w:pPr>
    <w:rPr>
      <w:sz w:val="2"/>
      <w:szCs w:val="2"/>
    </w:rPr>
  </w:style>
  <w:style w:type="character" w:styleId="PageNumber">
    <w:name w:val="page number"/>
    <w:basedOn w:val="DefaultParagraphFont"/>
    <w:rsid w:val="003F4EF4"/>
  </w:style>
  <w:style w:type="paragraph" w:styleId="Quote">
    <w:name w:val="Quote"/>
    <w:basedOn w:val="Heading1"/>
    <w:link w:val="QuoteChar"/>
    <w:qFormat/>
    <w:rsid w:val="003F4EF4"/>
    <w:rPr>
      <w:b w:val="0"/>
      <w:sz w:val="72"/>
      <w:szCs w:val="72"/>
      <w:lang w:val="en-NZ"/>
    </w:rPr>
  </w:style>
  <w:style w:type="character" w:customStyle="1" w:styleId="QuoteChar">
    <w:name w:val="Quote Char"/>
    <w:basedOn w:val="DefaultParagraphFont"/>
    <w:link w:val="Quote"/>
    <w:rsid w:val="003F4E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EF4"/>
    <w:pPr>
      <w:pageBreakBefore/>
    </w:pPr>
  </w:style>
  <w:style w:type="paragraph" w:customStyle="1" w:styleId="Border">
    <w:name w:val="Border"/>
    <w:basedOn w:val="Normal"/>
    <w:qFormat/>
    <w:rsid w:val="003F4E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EF4"/>
    <w:rPr>
      <w:b/>
      <w:bCs/>
      <w:i/>
      <w:iCs/>
      <w:color w:val="auto"/>
    </w:rPr>
  </w:style>
  <w:style w:type="paragraph" w:styleId="IntenseQuote">
    <w:name w:val="Intense Quote"/>
    <w:basedOn w:val="Normal"/>
    <w:next w:val="Normal"/>
    <w:link w:val="IntenseQuoteChar"/>
    <w:uiPriority w:val="30"/>
    <w:qFormat/>
    <w:rsid w:val="003F4E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E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EF4"/>
    <w:rPr>
      <w:smallCaps/>
      <w:color w:val="auto"/>
      <w:u w:val="single"/>
    </w:rPr>
  </w:style>
  <w:style w:type="character" w:styleId="IntenseReference">
    <w:name w:val="Intense Reference"/>
    <w:basedOn w:val="DefaultParagraphFont"/>
    <w:uiPriority w:val="32"/>
    <w:qFormat/>
    <w:rsid w:val="003F4EF4"/>
    <w:rPr>
      <w:b/>
      <w:bCs/>
      <w:smallCaps/>
      <w:color w:val="auto"/>
      <w:spacing w:val="5"/>
      <w:u w:val="single"/>
    </w:rPr>
  </w:style>
  <w:style w:type="paragraph" w:customStyle="1" w:styleId="2ColumnHeading">
    <w:name w:val="2Column Heading"/>
    <w:basedOn w:val="BodyText"/>
    <w:qFormat/>
    <w:rsid w:val="003F4EF4"/>
    <w:pPr>
      <w:spacing w:after="60"/>
      <w:ind w:left="-2268"/>
    </w:pPr>
    <w:rPr>
      <w:b/>
    </w:rPr>
  </w:style>
  <w:style w:type="paragraph" w:customStyle="1" w:styleId="Heading1TOC">
    <w:name w:val="Heading1 TOC"/>
    <w:basedOn w:val="Normal"/>
    <w:qFormat/>
    <w:rsid w:val="003F4EF4"/>
    <w:pPr>
      <w:spacing w:before="240" w:after="120"/>
    </w:pPr>
    <w:rPr>
      <w:rFonts w:ascii="Times New Roman" w:hAnsi="Times New Roman"/>
      <w:b/>
      <w:sz w:val="32"/>
    </w:rPr>
  </w:style>
  <w:style w:type="paragraph" w:customStyle="1" w:styleId="Heading2TOC">
    <w:name w:val="Heading2 TOC"/>
    <w:basedOn w:val="Normal"/>
    <w:qFormat/>
    <w:rsid w:val="003F4EF4"/>
    <w:pPr>
      <w:spacing w:before="240" w:after="60"/>
    </w:pPr>
    <w:rPr>
      <w:rFonts w:ascii="Times New Roman" w:hAnsi="Times New Roman"/>
      <w:b/>
      <w:sz w:val="28"/>
    </w:rPr>
  </w:style>
  <w:style w:type="character" w:customStyle="1" w:styleId="Underline">
    <w:name w:val="Underline"/>
    <w:basedOn w:val="DefaultParagraphFont"/>
    <w:qFormat/>
    <w:rsid w:val="003F4EF4"/>
    <w:rPr>
      <w:u w:val="single"/>
    </w:rPr>
  </w:style>
  <w:style w:type="character" w:customStyle="1" w:styleId="BoldandItalics">
    <w:name w:val="Bold and Italics"/>
    <w:qFormat/>
    <w:rsid w:val="003F4EF4"/>
    <w:rPr>
      <w:b/>
      <w:i/>
      <w:u w:val="none"/>
    </w:rPr>
  </w:style>
  <w:style w:type="paragraph" w:styleId="BalloonText">
    <w:name w:val="Balloon Text"/>
    <w:basedOn w:val="Normal"/>
    <w:link w:val="BalloonTextChar"/>
    <w:rsid w:val="003F4EF4"/>
    <w:rPr>
      <w:rFonts w:ascii="Tahoma" w:hAnsi="Tahoma" w:cs="Tahoma"/>
      <w:sz w:val="16"/>
      <w:szCs w:val="16"/>
    </w:rPr>
  </w:style>
  <w:style w:type="character" w:customStyle="1" w:styleId="BalloonTextChar">
    <w:name w:val="Balloon Text Char"/>
    <w:basedOn w:val="DefaultParagraphFont"/>
    <w:link w:val="BalloonText"/>
    <w:rsid w:val="003F4E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E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4E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EF4"/>
    <w:rPr>
      <w:b/>
      <w:color w:val="660033"/>
      <w:spacing w:val="0"/>
    </w:rPr>
  </w:style>
  <w:style w:type="paragraph" w:customStyle="1" w:styleId="Nameditemlist">
    <w:name w:val="Named item list"/>
    <w:basedOn w:val="BodyText"/>
    <w:qFormat/>
    <w:rsid w:val="003F4E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1261</Words>
  <Characters>8298</Characters>
  <Application>Microsoft Office Word</Application>
  <DocSecurity>0</DocSecurity>
  <Lines>297</Lines>
  <Paragraphs>143</Paragraphs>
  <ScaleCrop>false</ScaleCrop>
  <Company>Author-it Software Corporation Ltd.</Company>
  <LinksUpToDate>false</LinksUpToDate>
  <CharactersWithSpaces>9476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MSL935001 Monitor the quality of test results and data</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2016-03-01T06:18:00Z</dcterms:created>
  <dcterms:modified xsi:type="dcterms:W3CDTF">2016-03-01T06:18:00Z</dcterms:modified>
</cp:coreProperties>
</file>