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329" w:rsidP="003813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MSL934001 Contribute to the ongoing development of HACCP plans</w:t>
      </w:r>
      <w:r>
        <w:fldChar w:fldCharType="end"/>
      </w:r>
    </w:p>
    <w:p w:rsidR="00381329" w:rsidP="00381329">
      <w:pPr>
        <w:pStyle w:val="Version"/>
        <w:sectPr w:rsidSect="00E03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719" w:rsidP="00E03719">
      <w:pPr>
        <w:pStyle w:val="SuperHeading"/>
      </w:pPr>
      <w:r w:rsidRPr="00E03719">
        <w:t>Assessment Requirements for MSL934001 Contribute to the ongoing development of HACCP plans</w:t>
      </w:r>
    </w:p>
    <w:p w:rsidR="00000000" w:rsidRPr="00E03719" w:rsidP="00E03719">
      <w:pPr>
        <w:pStyle w:val="Heading1"/>
      </w:pPr>
      <w:bookmarkStart w:id="1" w:name="O_902233"/>
      <w:bookmarkEnd w:id="1"/>
      <w:r w:rsidRPr="00E03719">
        <w:t>Modification History</w:t>
      </w:r>
    </w:p>
    <w:p w:rsidR="00000000" w:rsidRPr="00E03719" w:rsidP="00E03719">
      <w:pPr>
        <w:pStyle w:val="BodyText"/>
      </w:pPr>
      <w:r w:rsidRPr="00E03719">
        <w:t>Release 1. Supersedes and is equivalent to MSL934001A Contribute to the ongoing development of HACCP plans</w:t>
      </w:r>
    </w:p>
    <w:p w:rsidR="00000000" w:rsidRPr="00E03719" w:rsidP="00E03719">
      <w:pPr>
        <w:pStyle w:val="AllowPageBreak"/>
      </w:pPr>
    </w:p>
    <w:p w:rsidR="00000000" w:rsidRPr="00E03719" w:rsidP="00E03719">
      <w:pPr>
        <w:pStyle w:val="Heading1"/>
      </w:pPr>
      <w:bookmarkStart w:id="2" w:name="O_902236"/>
      <w:bookmarkEnd w:id="2"/>
      <w:r w:rsidRPr="00E03719">
        <w:t>Performance Evidence</w:t>
      </w:r>
    </w:p>
    <w:p w:rsidR="00000000" w:rsidRPr="00E03719" w:rsidP="00E03719">
      <w:pPr>
        <w:pStyle w:val="BodyText"/>
      </w:pPr>
      <w:r w:rsidRPr="00E03719">
        <w:t>Evidence of competence in this unit must satisfy all of the requirements of the elements and performance criteria, and include demonstration of:</w:t>
      </w:r>
    </w:p>
    <w:p w:rsidR="00000000" w:rsidRPr="00E03719" w:rsidP="00E03719">
      <w:pPr>
        <w:pStyle w:val="ListBullet"/>
      </w:pPr>
      <w:r w:rsidRPr="00E03719">
        <w:t>collecting and analysing data obtained from hazard analysis and critical control points (</w:t>
      </w:r>
      <w:r w:rsidRPr="00E03719">
        <w:t>HACCP) records</w:t>
      </w:r>
    </w:p>
    <w:p w:rsidR="00000000" w:rsidRPr="00E03719" w:rsidP="00E03719">
      <w:pPr>
        <w:pStyle w:val="ListBullet"/>
      </w:pPr>
      <w:r w:rsidRPr="00E03719">
        <w:t>analysing data and recognising major and minor non-conformances</w:t>
      </w:r>
    </w:p>
    <w:p w:rsidR="00000000" w:rsidRPr="00E03719" w:rsidP="00E03719">
      <w:pPr>
        <w:pStyle w:val="ListBullet"/>
      </w:pPr>
      <w:r w:rsidRPr="00E03719">
        <w:t>constructing flow diagrams and hazard analysis tables</w:t>
      </w:r>
    </w:p>
    <w:p w:rsidR="00000000" w:rsidRPr="00E03719" w:rsidP="00E03719">
      <w:pPr>
        <w:pStyle w:val="ListBullet"/>
      </w:pPr>
      <w:r w:rsidRPr="00E03719">
        <w:t>using quality improvement tools and techniques, including statistical process control</w:t>
      </w:r>
    </w:p>
    <w:p w:rsidR="00000000" w:rsidRPr="00E03719" w:rsidP="00E03719">
      <w:pPr>
        <w:pStyle w:val="ListBullet"/>
      </w:pPr>
      <w:r w:rsidRPr="00E03719">
        <w:t>using problem-solving techniques to i</w:t>
      </w:r>
      <w:r w:rsidRPr="00E03719">
        <w:t>dentify causes and options to remedy problems</w:t>
      </w:r>
    </w:p>
    <w:p w:rsidR="00000000" w:rsidRPr="00E03719" w:rsidP="00E03719">
      <w:pPr>
        <w:pStyle w:val="ListBullet"/>
      </w:pPr>
      <w:r w:rsidRPr="00E03719">
        <w:t>identifying corrective actions and developing a corrective action plan</w:t>
      </w:r>
    </w:p>
    <w:p w:rsidR="00000000" w:rsidRPr="00E03719" w:rsidP="00E03719">
      <w:pPr>
        <w:pStyle w:val="ListBullet"/>
      </w:pPr>
      <w:r w:rsidRPr="00E03719">
        <w:t xml:space="preserve">implementing approved corrective actions </w:t>
      </w:r>
    </w:p>
    <w:p w:rsidR="00000000" w:rsidRPr="00E03719" w:rsidP="00E03719">
      <w:pPr>
        <w:pStyle w:val="ListBullet"/>
      </w:pPr>
      <w:r w:rsidRPr="00E03719">
        <w:t>reviewing existing HACCP plans</w:t>
      </w:r>
    </w:p>
    <w:p w:rsidR="00000000" w:rsidRPr="00E03719" w:rsidP="00E03719">
      <w:pPr>
        <w:pStyle w:val="ListBullet"/>
      </w:pPr>
      <w:r w:rsidRPr="00E03719">
        <w:t>monitoring and evaluating effectiveness of any changes/actions wit</w:t>
      </w:r>
      <w:r w:rsidRPr="00E03719">
        <w:t>hin the context of the ongoing development of HACCP plan</w:t>
      </w:r>
    </w:p>
    <w:p w:rsidR="00000000" w:rsidRPr="00E03719" w:rsidP="00E03719">
      <w:pPr>
        <w:pStyle w:val="ListBullet"/>
      </w:pPr>
      <w:r w:rsidRPr="00E03719">
        <w:t>delivering training to workplace personnel to assist their understanding of their roles and responsibilities for the implementation of HACCP</w:t>
      </w:r>
    </w:p>
    <w:p w:rsidR="00000000" w:rsidRPr="00E03719" w:rsidP="00E03719">
      <w:pPr>
        <w:pStyle w:val="ListBullet"/>
      </w:pPr>
      <w:r w:rsidRPr="00E03719">
        <w:t>consulting and communicating appropriately with associated</w:t>
      </w:r>
      <w:r w:rsidRPr="00E03719">
        <w:t xml:space="preserve"> personnel</w:t>
      </w:r>
    </w:p>
    <w:p w:rsidR="00000000" w:rsidRPr="00E03719" w:rsidP="00E03719">
      <w:pPr>
        <w:pStyle w:val="ListBullet"/>
      </w:pPr>
      <w:r w:rsidRPr="00E03719">
        <w:t>documenting and presenting recommendations and changes</w:t>
      </w:r>
    </w:p>
    <w:p w:rsidR="00000000" w:rsidRPr="00E03719" w:rsidP="00E03719">
      <w:pPr>
        <w:pStyle w:val="ListBullet"/>
      </w:pPr>
      <w:r w:rsidRPr="00E03719">
        <w:t>completing the review and update of documents and systems related to HACCP plans.</w:t>
      </w:r>
    </w:p>
    <w:p w:rsidR="00000000" w:rsidRPr="00E03719" w:rsidP="00E03719">
      <w:pPr>
        <w:pStyle w:val="AllowPageBreak"/>
      </w:pPr>
    </w:p>
    <w:p w:rsidR="00000000" w:rsidRPr="00E03719" w:rsidP="00E03719">
      <w:pPr>
        <w:pStyle w:val="Heading1"/>
      </w:pPr>
      <w:bookmarkStart w:id="3" w:name="O_902235"/>
      <w:bookmarkEnd w:id="3"/>
      <w:r w:rsidRPr="00E03719">
        <w:t>Knowledge Evidence</w:t>
      </w:r>
    </w:p>
    <w:p w:rsidR="00000000" w:rsidRPr="00E03719" w:rsidP="00E03719">
      <w:pPr>
        <w:pStyle w:val="BodyText"/>
      </w:pPr>
      <w:r w:rsidRPr="00E03719">
        <w:t>Must provide evidence that demonstrates knowledge of:</w:t>
      </w:r>
    </w:p>
    <w:p w:rsidR="00000000" w:rsidRPr="00E03719" w:rsidP="00E03719">
      <w:pPr>
        <w:pStyle w:val="ListBullet"/>
      </w:pPr>
      <w:r w:rsidRPr="00E03719">
        <w:t>the seven principles of HACCP and relationship to food or pharmaceutical safety, benefits of HACCP and preliminary steps for HACCP</w:t>
      </w:r>
    </w:p>
    <w:p w:rsidR="00000000" w:rsidRPr="00E03719" w:rsidP="00E03719">
      <w:pPr>
        <w:pStyle w:val="ListBullet"/>
      </w:pPr>
      <w:r w:rsidRPr="00E03719">
        <w:t>HACCP plan contents, including:</w:t>
      </w:r>
    </w:p>
    <w:p w:rsidR="00000000" w:rsidRPr="00E03719" w:rsidP="00E03719">
      <w:pPr>
        <w:pStyle w:val="ListBullet"/>
      </w:pPr>
      <w:r w:rsidRPr="00E03719">
        <w:t>critical control points and control limits</w:t>
      </w:r>
    </w:p>
    <w:p w:rsidR="00000000" w:rsidRPr="00E03719" w:rsidP="00E03719">
      <w:pPr>
        <w:pStyle w:val="ListBullet"/>
      </w:pPr>
      <w:r w:rsidRPr="00E03719">
        <w:t>consequences of non-conforming products being iden</w:t>
      </w:r>
      <w:r w:rsidRPr="00E03719">
        <w:t>tified</w:t>
      </w:r>
    </w:p>
    <w:p w:rsidR="00000000" w:rsidRPr="00E03719" w:rsidP="00E03719">
      <w:pPr>
        <w:pStyle w:val="ListBullet"/>
      </w:pPr>
      <w:r w:rsidRPr="00E03719">
        <w:t>products and services provided by the workplace, and production process</w:t>
      </w:r>
    </w:p>
    <w:p w:rsidR="00000000" w:rsidRPr="00E03719" w:rsidP="00E03719">
      <w:pPr>
        <w:pStyle w:val="ListBullet"/>
      </w:pPr>
      <w:r w:rsidRPr="00E03719">
        <w:t>layout of the workplace, divisions and laboratory</w:t>
      </w:r>
    </w:p>
    <w:p w:rsidR="00000000" w:rsidRPr="00E03719" w:rsidP="00E03719">
      <w:pPr>
        <w:pStyle w:val="ListBullet"/>
      </w:pPr>
      <w:r w:rsidRPr="00E03719">
        <w:t>organisational structure of the workplace, communication channels and consultative arrangements</w:t>
      </w:r>
    </w:p>
    <w:p w:rsidR="00000000" w:rsidRPr="00E03719" w:rsidP="00E03719">
      <w:pPr>
        <w:pStyle w:val="ListBullet"/>
      </w:pPr>
      <w:r w:rsidRPr="00E03719">
        <w:t xml:space="preserve">role of laboratory services to </w:t>
      </w:r>
      <w:r w:rsidRPr="00E03719">
        <w:t>the workplace and customers</w:t>
      </w:r>
    </w:p>
    <w:p w:rsidR="00000000" w:rsidRPr="00E03719" w:rsidP="00E03719">
      <w:pPr>
        <w:pStyle w:val="ListBullet"/>
      </w:pPr>
      <w:r w:rsidRPr="00E03719">
        <w:t>scheduling of tests and procedures to meet customer requirements</w:t>
      </w:r>
    </w:p>
    <w:p w:rsidR="00000000" w:rsidRPr="00E03719" w:rsidP="00E03719">
      <w:pPr>
        <w:pStyle w:val="ListBullet"/>
      </w:pPr>
      <w:r w:rsidRPr="00E03719">
        <w:t>quality policy, procedures and responsibilities of job role</w:t>
      </w:r>
    </w:p>
    <w:p w:rsidR="00000000" w:rsidRPr="00E03719" w:rsidP="00E03719">
      <w:pPr>
        <w:pStyle w:val="ListBullet"/>
      </w:pPr>
      <w:r w:rsidRPr="00E03719">
        <w:t xml:space="preserve">workplace procedures associated with the candidate's regular technical duties </w:t>
      </w:r>
    </w:p>
    <w:p w:rsidR="00000000" w:rsidRPr="00E03719" w:rsidP="00E03719">
      <w:pPr>
        <w:pStyle w:val="ListBullet"/>
      </w:pPr>
      <w:r w:rsidRPr="00E03719">
        <w:t xml:space="preserve">methods used to monitor </w:t>
      </w:r>
      <w:r w:rsidRPr="00E03719">
        <w:t>each critical, quality and regulatory control point</w:t>
      </w:r>
    </w:p>
    <w:p w:rsidR="00000000" w:rsidRPr="00E03719" w:rsidP="00E03719">
      <w:pPr>
        <w:pStyle w:val="ListBullet"/>
      </w:pPr>
      <w:r w:rsidRPr="00E03719">
        <w:t>methods for systematically investigating and responding to problems</w:t>
      </w:r>
    </w:p>
    <w:p w:rsidR="00000000" w:rsidRPr="00E03719" w:rsidP="00E03719">
      <w:pPr>
        <w:pStyle w:val="ListBullet"/>
      </w:pPr>
      <w:r w:rsidRPr="00E03719">
        <w:t>flow charts, symbols, control charts, control limits and control measures</w:t>
      </w:r>
    </w:p>
    <w:p w:rsidR="00000000" w:rsidRPr="00E03719" w:rsidP="00E03719">
      <w:pPr>
        <w:pStyle w:val="ListBullet"/>
      </w:pPr>
      <w:r w:rsidRPr="00E03719">
        <w:t>equipment and instrument calibration requirements</w:t>
      </w:r>
    </w:p>
    <w:p w:rsidR="00000000" w:rsidRPr="00E03719" w:rsidP="00E03719">
      <w:pPr>
        <w:pStyle w:val="ListBullet"/>
      </w:pPr>
      <w:r w:rsidRPr="00E03719">
        <w:t>procedures f</w:t>
      </w:r>
      <w:r w:rsidRPr="00E03719">
        <w:t>or addressing non-compliance and continuous improvement practices</w:t>
      </w:r>
    </w:p>
    <w:p w:rsidR="00000000" w:rsidRPr="00E03719" w:rsidP="00E03719">
      <w:pPr>
        <w:pStyle w:val="ListBullet"/>
      </w:pPr>
      <w:r w:rsidRPr="00E03719">
        <w:t>relevant hazards, work health and safety (WHS) and environment requirements.</w:t>
      </w:r>
    </w:p>
    <w:p w:rsidR="00000000" w:rsidRPr="00E03719" w:rsidP="00E03719">
      <w:pPr>
        <w:pStyle w:val="AllowPageBreak"/>
      </w:pPr>
    </w:p>
    <w:p w:rsidR="00000000" w:rsidRPr="00E03719" w:rsidP="00E03719">
      <w:pPr>
        <w:pStyle w:val="Heading1"/>
      </w:pPr>
      <w:bookmarkStart w:id="4" w:name="O_902234"/>
      <w:bookmarkEnd w:id="4"/>
      <w:r w:rsidRPr="00E03719">
        <w:t>Assessment Conditions</w:t>
      </w:r>
    </w:p>
    <w:p w:rsidR="00000000" w:rsidRPr="00E03719" w:rsidP="00E03719">
      <w:pPr>
        <w:pStyle w:val="ListBullet"/>
      </w:pPr>
      <w:r w:rsidRPr="00E03719">
        <w:t>Judgement of competence must be based on holistic assessment of the evide</w:t>
      </w:r>
      <w:r w:rsidRPr="00E03719">
        <w:t xml:space="preserve">nce. Assessment methods must confirm consistency of performance over time, rather than a single assessment event. </w:t>
      </w:r>
    </w:p>
    <w:p w:rsidR="00000000" w:rsidRPr="00E03719" w:rsidP="00E03719">
      <w:pPr>
        <w:pStyle w:val="ListBullet"/>
      </w:pPr>
      <w:r w:rsidRPr="00E03719">
        <w:t>This unit of competency is to be assessed in the workplace or a simulated workplace environment. A simulated workplace environment must reflect realistic operational workplace conditions that cover all aspects of workplace performance, including the enviro</w:t>
      </w:r>
      <w:r w:rsidRPr="00E03719">
        <w:t xml:space="preserve">nment, task skills, task management skills, contingency management skills and job role environment skills.  </w:t>
      </w:r>
    </w:p>
    <w:p w:rsidR="00000000" w:rsidRPr="00E03719" w:rsidP="00E03719">
      <w:pPr>
        <w:pStyle w:val="ListBullet"/>
      </w:pPr>
      <w:r w:rsidRPr="00E03719">
        <w:t xml:space="preserve">Foundation skills are integral to competent performance of the unit and should not be assessed separately. </w:t>
      </w:r>
    </w:p>
    <w:p w:rsidR="00000000" w:rsidRPr="00E03719" w:rsidP="00E03719">
      <w:pPr>
        <w:pStyle w:val="ListBullet"/>
      </w:pPr>
      <w:r w:rsidRPr="00E03719">
        <w:t>Assessment processes and techniques mus</w:t>
      </w:r>
      <w:r w:rsidRPr="00E03719">
        <w:t>t be appropriate to the language, literacy and numeracy requirements of the work being performed and the needs of the candidate.</w:t>
      </w:r>
    </w:p>
    <w:p w:rsidR="00000000" w:rsidRPr="00E03719" w:rsidP="00E03719">
      <w:pPr>
        <w:pStyle w:val="ListBullet"/>
      </w:pPr>
      <w:r w:rsidRPr="00E03719">
        <w:t>Knowledge evidence may be collected concurrently with performance evidence or through an independent process, such as workbooks</w:t>
      </w:r>
      <w:r w:rsidRPr="00E03719">
        <w:t>, written assessments or interviews (provided a record is kept in each case).</w:t>
      </w:r>
    </w:p>
    <w:p w:rsidR="00000000" w:rsidRPr="00E03719" w:rsidP="00E03719">
      <w:pPr>
        <w:pStyle w:val="ListBullet"/>
      </w:pPr>
      <w:r w:rsidRPr="00E03719">
        <w:t xml:space="preserve">This unit of competency may be assessed with: </w:t>
      </w:r>
    </w:p>
    <w:p w:rsidR="00000000" w:rsidRPr="00E03719" w:rsidP="00E03719">
      <w:pPr>
        <w:pStyle w:val="ListBullet2"/>
      </w:pPr>
      <w:r w:rsidRPr="00E03719">
        <w:t>MSL933002 Contribute to the achievement of quality objectives</w:t>
      </w:r>
    </w:p>
    <w:p w:rsidR="00000000" w:rsidRPr="00E03719" w:rsidP="00E03719">
      <w:pPr>
        <w:pStyle w:val="ListBullet2"/>
      </w:pPr>
      <w:r w:rsidRPr="00E03719">
        <w:t>MSL933003 Apply critical control point requirements</w:t>
      </w:r>
    </w:p>
    <w:p w:rsidR="00000000" w:rsidRPr="00E03719" w:rsidP="00E03719">
      <w:pPr>
        <w:pStyle w:val="ListBullet2"/>
      </w:pPr>
      <w:r w:rsidRPr="00E03719">
        <w:t>TAEDEL301A Provi</w:t>
      </w:r>
      <w:r w:rsidRPr="00E03719">
        <w:t>de work skill instruction</w:t>
      </w:r>
    </w:p>
    <w:p w:rsidR="00000000" w:rsidRPr="00E03719" w:rsidP="00E03719">
      <w:pPr>
        <w:pStyle w:val="ListBullet"/>
      </w:pPr>
      <w:r w:rsidRPr="00E03719">
        <w:t xml:space="preserve">Holistic assessment methods include: </w:t>
      </w:r>
    </w:p>
    <w:p w:rsidR="00000000" w:rsidRPr="00E03719" w:rsidP="00E03719">
      <w:pPr>
        <w:pStyle w:val="ListBullet2"/>
      </w:pPr>
      <w:r w:rsidRPr="00E03719">
        <w:t>review of documentation completed by the candidate as part of the development of HACCP plans</w:t>
      </w:r>
    </w:p>
    <w:p w:rsidR="00000000" w:rsidRPr="00E03719" w:rsidP="00E03719">
      <w:pPr>
        <w:pStyle w:val="ListBullet2"/>
      </w:pPr>
      <w:r w:rsidRPr="00E03719">
        <w:t>review of data and reports obtained from HACCP records by the candidate</w:t>
      </w:r>
    </w:p>
    <w:p w:rsidR="00000000" w:rsidRPr="00E03719" w:rsidP="00E03719">
      <w:pPr>
        <w:pStyle w:val="ListBullet2"/>
      </w:pPr>
      <w:r w:rsidRPr="00E03719">
        <w:t>feedback obtained from ma</w:t>
      </w:r>
      <w:r w:rsidRPr="00E03719">
        <w:t>nagers on implementation and review of HACCP plans.</w:t>
      </w:r>
    </w:p>
    <w:p w:rsidR="00000000" w:rsidRPr="00E03719" w:rsidP="00E03719">
      <w:pPr>
        <w:pStyle w:val="ListBullet"/>
      </w:pPr>
      <w:r w:rsidRPr="00E03719">
        <w:t>Access is required to instruments, equipment, materials, workplace documentation, procedures and specifications associated with this unit, including, but not limited to:</w:t>
      </w:r>
    </w:p>
    <w:p w:rsidR="00000000" w:rsidRPr="00E03719" w:rsidP="00E03719">
      <w:pPr>
        <w:pStyle w:val="ListBullet2"/>
      </w:pPr>
      <w:r w:rsidRPr="00E03719">
        <w:t>workplace documentation, such as</w:t>
      </w:r>
      <w:r w:rsidRPr="00E03719">
        <w:t xml:space="preserve"> HACCP plan and quality manuals.</w:t>
      </w:r>
    </w:p>
    <w:p w:rsidR="00000000" w:rsidRPr="00E03719" w:rsidP="00E03719">
      <w:pPr>
        <w:pStyle w:val="ListBullet"/>
      </w:pPr>
      <w:r w:rsidRPr="00E03719">
        <w:t xml:space="preserve">Assessors must satisfy the assessor competency requirements that are in place at the time of the assessment as set by the VET regulator.  </w:t>
      </w:r>
    </w:p>
    <w:p w:rsidR="00000000" w:rsidRPr="00E03719" w:rsidP="00E03719">
      <w:pPr>
        <w:pStyle w:val="ListBullet"/>
      </w:pPr>
      <w:r w:rsidRPr="00E03719">
        <w:t>The assessor must demonstrate both technical competency and currency.</w:t>
      </w:r>
    </w:p>
    <w:p w:rsidR="00000000" w:rsidRPr="00E03719" w:rsidP="00E03719">
      <w:pPr>
        <w:pStyle w:val="ListBullet"/>
      </w:pPr>
      <w:r w:rsidRPr="00E03719">
        <w:t>Technical competence can be demonstrated through:</w:t>
      </w:r>
    </w:p>
    <w:p w:rsidR="00000000" w:rsidRPr="00E03719" w:rsidP="00E03719">
      <w:pPr>
        <w:pStyle w:val="ListBullet2"/>
      </w:pPr>
      <w:r w:rsidRPr="00E03719">
        <w:t>relevant VET or other qualification/Statement of Attainment AND/OR</w:t>
      </w:r>
    </w:p>
    <w:p w:rsidR="00000000" w:rsidRPr="00E03719" w:rsidP="00E03719">
      <w:pPr>
        <w:pStyle w:val="ListBullet2"/>
      </w:pPr>
      <w:r w:rsidRPr="00E03719">
        <w:t>relevant workplace experience.</w:t>
      </w:r>
    </w:p>
    <w:p w:rsidR="00000000" w:rsidRPr="00E03719" w:rsidP="00E03719">
      <w:pPr>
        <w:pStyle w:val="ListBullet"/>
      </w:pPr>
      <w:r w:rsidRPr="00E03719">
        <w:t>Currency can be demonstrated through:</w:t>
      </w:r>
    </w:p>
    <w:p w:rsidR="00000000" w:rsidRPr="00E03719" w:rsidP="00E03719">
      <w:pPr>
        <w:pStyle w:val="ListBullet2"/>
      </w:pPr>
      <w:r w:rsidRPr="00E03719">
        <w:t>performing the competency being assessed as part of current employm</w:t>
      </w:r>
      <w:r w:rsidRPr="00E03719">
        <w:t>ent OR</w:t>
      </w:r>
    </w:p>
    <w:p w:rsidR="00000000" w:rsidRPr="00E03719" w:rsidP="00E03719">
      <w:pPr>
        <w:pStyle w:val="ListBullet2"/>
      </w:pPr>
      <w:r w:rsidRPr="00E03719">
        <w:t>having consulted with a laboratory about performing the competency being assessed within the last twelve months.</w:t>
      </w:r>
    </w:p>
    <w:p w:rsidR="00000000" w:rsidRPr="00E03719" w:rsidP="00E03719">
      <w:pPr>
        <w:pStyle w:val="AllowPageBreak"/>
      </w:pPr>
    </w:p>
    <w:p w:rsidR="00000000" w:rsidRPr="00E03719" w:rsidP="00E03719">
      <w:pPr>
        <w:pStyle w:val="Heading1"/>
      </w:pPr>
      <w:bookmarkStart w:id="5" w:name="O_902232"/>
      <w:bookmarkEnd w:id="5"/>
      <w:r w:rsidRPr="00E03719">
        <w:t>Links</w:t>
      </w:r>
    </w:p>
    <w:p w:rsidR="00000000" w:rsidRPr="00E03719" w:rsidP="00E03719">
      <w:pPr>
        <w:pStyle w:val="BodyText"/>
      </w:pPr>
      <w:r w:rsidRPr="00E03719">
        <w:t>MSA Training Package Implementation Guides - http://mskills.org.au/training-packages/info/</w:t>
      </w:r>
    </w:p>
    <w:p w:rsidR="00000000" w:rsidRPr="00E03719" w:rsidP="00E03719"/>
    <w:sectPr w:rsidSect="00E037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2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29" w:rsidP="00E03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329" w:rsidP="00E03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81329" w:rsidP="00E03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719" w:rsidRPr="00381329" w:rsidP="003813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329" w:rsidRPr="002D2AF8" w:rsidP="00E03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MSL934001 Contribute to the ongoing development of HACCP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381329" w:rsidP="00E03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02D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38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94C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719"/>
  </w:style>
  <w:style w:type="character" w:customStyle="1" w:styleId="Heading1Char">
    <w:name w:val="Heading 1 Char"/>
    <w:basedOn w:val="DefaultParagraphFont"/>
    <w:link w:val="Heading1"/>
    <w:rsid w:val="00E03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7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7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371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37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3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7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7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3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3719"/>
    <w:rPr>
      <w:b/>
      <w:spacing w:val="0"/>
    </w:rPr>
  </w:style>
  <w:style w:type="paragraph" w:customStyle="1" w:styleId="SuperTitle">
    <w:name w:val="SuperTitle"/>
    <w:basedOn w:val="Title"/>
    <w:rsid w:val="00E03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3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7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719"/>
    <w:rPr>
      <w:i/>
    </w:rPr>
  </w:style>
  <w:style w:type="paragraph" w:styleId="Caption">
    <w:name w:val="caption"/>
    <w:basedOn w:val="BodyText"/>
    <w:next w:val="Normal"/>
    <w:qFormat/>
    <w:rsid w:val="00E03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719"/>
  </w:style>
  <w:style w:type="paragraph" w:styleId="TableofFigures">
    <w:name w:val="table of figures"/>
    <w:basedOn w:val="Normal"/>
    <w:next w:val="Normal"/>
    <w:semiHidden/>
    <w:rsid w:val="00E03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719"/>
    <w:pPr>
      <w:numPr>
        <w:numId w:val="11"/>
      </w:numPr>
    </w:pPr>
  </w:style>
  <w:style w:type="character" w:customStyle="1" w:styleId="WingdingSymbols">
    <w:name w:val="Wingding Symbols"/>
    <w:rsid w:val="00E03719"/>
    <w:rPr>
      <w:rFonts w:ascii="Wingdings" w:hAnsi="Wingdings"/>
    </w:rPr>
  </w:style>
  <w:style w:type="paragraph" w:customStyle="1" w:styleId="TableHeading">
    <w:name w:val="Table Heading"/>
    <w:basedOn w:val="HeadingBase"/>
    <w:rsid w:val="00E037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719"/>
    <w:rPr>
      <w:color w:val="0033CC"/>
      <w:u w:val="none"/>
    </w:rPr>
  </w:style>
  <w:style w:type="paragraph" w:customStyle="1" w:styleId="BodyTextRight">
    <w:name w:val="Body Text Right"/>
    <w:basedOn w:val="BodyText"/>
    <w:rsid w:val="00E03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7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719"/>
    <w:rPr>
      <w:sz w:val="32"/>
    </w:rPr>
  </w:style>
  <w:style w:type="paragraph" w:customStyle="1" w:styleId="HeadingProcedure">
    <w:name w:val="Heading Procedure"/>
    <w:basedOn w:val="HeadingBase"/>
    <w:next w:val="Normal"/>
    <w:rsid w:val="00E03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719"/>
    <w:pPr>
      <w:spacing w:before="60" w:after="60"/>
    </w:pPr>
  </w:style>
  <w:style w:type="paragraph" w:styleId="ListContinue">
    <w:name w:val="List Continue"/>
    <w:basedOn w:val="List"/>
    <w:rsid w:val="00E03719"/>
    <w:pPr>
      <w:ind w:firstLine="0"/>
    </w:pPr>
  </w:style>
  <w:style w:type="paragraph" w:customStyle="1" w:styleId="ListNote">
    <w:name w:val="List Note"/>
    <w:basedOn w:val="List"/>
    <w:rsid w:val="00E03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719"/>
    <w:rPr>
      <w:rFonts w:ascii="Courier New" w:hAnsi="Courier New"/>
    </w:rPr>
  </w:style>
  <w:style w:type="paragraph" w:customStyle="1" w:styleId="NoteBullet">
    <w:name w:val="Note Bullet"/>
    <w:basedOn w:val="Note"/>
    <w:rsid w:val="00E03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7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03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719"/>
    <w:rPr>
      <w:b/>
      <w:smallCaps/>
    </w:rPr>
  </w:style>
  <w:style w:type="paragraph" w:customStyle="1" w:styleId="TableListNumber">
    <w:name w:val="Table List Number"/>
    <w:basedOn w:val="ListNumber"/>
    <w:rsid w:val="00E03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719"/>
    <w:pPr>
      <w:numPr>
        <w:numId w:val="9"/>
      </w:numPr>
    </w:pPr>
  </w:style>
  <w:style w:type="paragraph" w:customStyle="1" w:styleId="ListAlpha2">
    <w:name w:val="List Alpha 2"/>
    <w:basedOn w:val="List2"/>
    <w:rsid w:val="00E03719"/>
    <w:pPr>
      <w:numPr>
        <w:numId w:val="8"/>
      </w:numPr>
    </w:pPr>
  </w:style>
  <w:style w:type="paragraph" w:styleId="List2">
    <w:name w:val="List 2"/>
    <w:basedOn w:val="BodyText"/>
    <w:rsid w:val="00E03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71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7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3719"/>
    <w:pPr>
      <w:numPr>
        <w:numId w:val="4"/>
      </w:numPr>
    </w:pPr>
  </w:style>
  <w:style w:type="paragraph" w:styleId="ListContinue2">
    <w:name w:val="List Continue 2"/>
    <w:basedOn w:val="List2"/>
    <w:rsid w:val="00E03719"/>
    <w:pPr>
      <w:ind w:firstLine="0"/>
    </w:pPr>
  </w:style>
  <w:style w:type="paragraph" w:styleId="ListContinue3">
    <w:name w:val="List Continue 3"/>
    <w:basedOn w:val="List3"/>
    <w:rsid w:val="00E03719"/>
    <w:pPr>
      <w:ind w:left="1021" w:firstLine="0"/>
    </w:pPr>
  </w:style>
  <w:style w:type="paragraph" w:styleId="ListContinue4">
    <w:name w:val="List Continue 4"/>
    <w:basedOn w:val="List4"/>
    <w:rsid w:val="00E03719"/>
    <w:pPr>
      <w:ind w:firstLine="0"/>
    </w:pPr>
  </w:style>
  <w:style w:type="paragraph" w:styleId="ListContinue5">
    <w:name w:val="List Continue 5"/>
    <w:basedOn w:val="List5"/>
    <w:rsid w:val="00E03719"/>
    <w:pPr>
      <w:ind w:firstLine="0"/>
    </w:pPr>
  </w:style>
  <w:style w:type="paragraph" w:styleId="ListNumber3">
    <w:name w:val="List Number 3"/>
    <w:basedOn w:val="List3"/>
    <w:rsid w:val="00E03719"/>
    <w:pPr>
      <w:numPr>
        <w:numId w:val="5"/>
      </w:numPr>
    </w:pPr>
  </w:style>
  <w:style w:type="paragraph" w:styleId="ListNumber4">
    <w:name w:val="List Number 4"/>
    <w:basedOn w:val="List4"/>
    <w:rsid w:val="00E03719"/>
    <w:pPr>
      <w:numPr>
        <w:numId w:val="6"/>
      </w:numPr>
    </w:pPr>
  </w:style>
  <w:style w:type="paragraph" w:styleId="ListNumber5">
    <w:name w:val="List Number 5"/>
    <w:basedOn w:val="List5"/>
    <w:rsid w:val="00E03719"/>
    <w:pPr>
      <w:numPr>
        <w:numId w:val="7"/>
      </w:numPr>
    </w:pPr>
  </w:style>
  <w:style w:type="paragraph" w:styleId="BlockText">
    <w:name w:val="Block Text"/>
    <w:basedOn w:val="Normal"/>
    <w:rsid w:val="00E03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719"/>
    <w:rPr>
      <w:sz w:val="16"/>
      <w:vertAlign w:val="superscript"/>
    </w:rPr>
  </w:style>
  <w:style w:type="character" w:customStyle="1" w:styleId="Symbols">
    <w:name w:val="Symbols"/>
    <w:basedOn w:val="DefaultParagraphFont"/>
    <w:rsid w:val="00E03719"/>
    <w:rPr>
      <w:rFonts w:ascii="Symbol" w:hAnsi="Symbol"/>
    </w:rPr>
  </w:style>
  <w:style w:type="character" w:customStyle="1" w:styleId="MenuOptions">
    <w:name w:val="Menu Options"/>
    <w:basedOn w:val="DefaultParagraphFont"/>
    <w:rsid w:val="00E03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719"/>
    <w:rPr>
      <w:b/>
    </w:rPr>
  </w:style>
  <w:style w:type="character" w:customStyle="1" w:styleId="Underlined">
    <w:name w:val="Underlined"/>
    <w:basedOn w:val="DefaultParagraphFont"/>
    <w:rsid w:val="00E03719"/>
    <w:rPr>
      <w:u w:val="single"/>
    </w:rPr>
  </w:style>
  <w:style w:type="paragraph" w:customStyle="1" w:styleId="TableBodyTextRight">
    <w:name w:val="Table Body Text Right"/>
    <w:basedOn w:val="TableBodyText"/>
    <w:rsid w:val="00E03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719"/>
    <w:rPr>
      <w:sz w:val="18"/>
    </w:rPr>
  </w:style>
  <w:style w:type="paragraph" w:customStyle="1" w:styleId="BodySmallRight">
    <w:name w:val="Body Small Right"/>
    <w:basedOn w:val="BodyTextRight"/>
    <w:rsid w:val="00E03719"/>
    <w:rPr>
      <w:sz w:val="18"/>
      <w:szCs w:val="18"/>
    </w:rPr>
  </w:style>
  <w:style w:type="paragraph" w:customStyle="1" w:styleId="MarginEdition">
    <w:name w:val="Margin Edition"/>
    <w:basedOn w:val="MarginNote"/>
    <w:rsid w:val="00E03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719"/>
    <w:rPr>
      <w:sz w:val="2"/>
      <w:szCs w:val="2"/>
    </w:rPr>
  </w:style>
  <w:style w:type="character" w:customStyle="1" w:styleId="Small">
    <w:name w:val="Small"/>
    <w:basedOn w:val="DefaultParagraphFont"/>
    <w:rsid w:val="00E03719"/>
    <w:rPr>
      <w:sz w:val="16"/>
    </w:rPr>
  </w:style>
  <w:style w:type="paragraph" w:customStyle="1" w:styleId="WideTable">
    <w:name w:val="Wide Table"/>
    <w:basedOn w:val="Normal"/>
    <w:rsid w:val="00E03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719"/>
  </w:style>
  <w:style w:type="paragraph" w:styleId="Quote">
    <w:name w:val="Quote"/>
    <w:basedOn w:val="Heading1"/>
    <w:link w:val="QuoteChar"/>
    <w:qFormat/>
    <w:rsid w:val="00E03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719"/>
    <w:pPr>
      <w:pageBreakBefore/>
    </w:pPr>
  </w:style>
  <w:style w:type="paragraph" w:customStyle="1" w:styleId="Border">
    <w:name w:val="Border"/>
    <w:basedOn w:val="Normal"/>
    <w:qFormat/>
    <w:rsid w:val="00E03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719"/>
    <w:rPr>
      <w:u w:val="single"/>
    </w:rPr>
  </w:style>
  <w:style w:type="character" w:customStyle="1" w:styleId="BoldandItalics">
    <w:name w:val="Bold and Italics"/>
    <w:qFormat/>
    <w:rsid w:val="00E03719"/>
    <w:rPr>
      <w:b/>
      <w:i/>
      <w:u w:val="none"/>
    </w:rPr>
  </w:style>
  <w:style w:type="paragraph" w:styleId="BalloonText">
    <w:name w:val="Balloon Text"/>
    <w:basedOn w:val="Normal"/>
    <w:link w:val="BalloonTextChar"/>
    <w:rsid w:val="00E03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7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7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4536</Characters>
  <Application>Microsoft Office Word</Application>
  <DocSecurity>0</DocSecurity>
  <Lines>94</Lines>
  <Paragraphs>65</Paragraphs>
  <ScaleCrop>false</ScaleCrop>
  <Company>Author-it Software Corporation Ltd.</Company>
  <LinksUpToDate>false</LinksUpToDate>
  <CharactersWithSpaces>5225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MSL934001 Contribute to the ongoing development of HACCP plans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2016-06-22T08:43:00Z</dcterms:created>
  <dcterms:modified xsi:type="dcterms:W3CDTF">2016-06-22T08:43:00Z</dcterms:modified>
</cp:coreProperties>
</file>