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817" w:rsidP="00AF5817">
      <w:pPr>
        <w:pStyle w:val="Title"/>
      </w:pPr>
      <w:r>
        <w:fldChar w:fldCharType="begin"/>
      </w:r>
      <w:r>
        <w:instrText xml:space="preserve"> TITLE   \* MERGEFORMAT </w:instrText>
      </w:r>
      <w:r>
        <w:fldChar w:fldCharType="separate"/>
      </w:r>
      <w:r>
        <w:t>MSL933002 Contribute to the achievement of quality objectives</w:t>
      </w:r>
      <w:r>
        <w:fldChar w:fldCharType="end"/>
      </w:r>
    </w:p>
    <w:p w:rsidR="00AF5817" w:rsidP="00AF5817">
      <w:pPr>
        <w:pStyle w:val="Version"/>
        <w:sectPr w:rsidSect="00E30E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EEC" w:rsidP="00E30EEC">
      <w:pPr>
        <w:pStyle w:val="SuperHeading"/>
      </w:pPr>
      <w:r w:rsidRPr="00E30EEC">
        <w:t>MSL933002 Contribute to the achievement of quality objectives</w:t>
      </w:r>
    </w:p>
    <w:p w:rsidR="00000000" w:rsidRPr="00E30EEC" w:rsidP="00E30EEC">
      <w:pPr>
        <w:pStyle w:val="Heading1"/>
      </w:pPr>
      <w:bookmarkStart w:id="1" w:name="O_902180"/>
      <w:bookmarkEnd w:id="1"/>
      <w:r w:rsidRPr="00E30EEC">
        <w:t>Modification History</w:t>
      </w:r>
    </w:p>
    <w:p w:rsidR="00000000" w:rsidRPr="00E30EEC" w:rsidP="00E30EEC">
      <w:pPr>
        <w:pStyle w:val="BodyText"/>
      </w:pPr>
      <w:r w:rsidRPr="00E30EEC">
        <w:t>Release 1. Supersedes and is equivalent to MSL933002A Contribute to the achievement of quality objectives</w:t>
      </w:r>
    </w:p>
    <w:p w:rsidR="00000000" w:rsidRPr="00E30EEC" w:rsidP="00E30EEC">
      <w:pPr>
        <w:pStyle w:val="AllowPageBreak"/>
      </w:pPr>
    </w:p>
    <w:p w:rsidR="00000000" w:rsidRPr="00E30EEC" w:rsidP="00E30EEC">
      <w:pPr>
        <w:pStyle w:val="Heading1"/>
      </w:pPr>
      <w:bookmarkStart w:id="2" w:name="O_902188"/>
      <w:bookmarkEnd w:id="2"/>
      <w:r w:rsidRPr="00E30EEC">
        <w:t>Application</w:t>
      </w:r>
    </w:p>
    <w:p w:rsidR="00000000" w:rsidRPr="00E30EEC" w:rsidP="00E30EEC">
      <w:pPr>
        <w:pStyle w:val="BodyText"/>
      </w:pPr>
      <w:r w:rsidRPr="00E30EEC">
        <w:t>This unit of competency covers the development of a working knowledge of quality principles and their application in laboratory/field work.</w:t>
      </w:r>
    </w:p>
    <w:p w:rsidR="00000000" w:rsidRPr="00E30EEC" w:rsidP="00E30EEC">
      <w:pPr>
        <w:pStyle w:val="BodyText"/>
      </w:pPr>
    </w:p>
    <w:p w:rsidR="00000000" w:rsidRPr="00E30EEC" w:rsidP="00E30EEC">
      <w:pPr>
        <w:pStyle w:val="BodyText"/>
      </w:pPr>
      <w:r w:rsidRPr="00E30EEC">
        <w:t>This unit of competency is applicable to samplers/testers, production operators and laboratory/field assistants wor</w:t>
      </w:r>
      <w:r w:rsidRPr="00E30EEC">
        <w:t>king in all industry sectors. These personnel have defined roles and responsibilities within the workplace's quality system which are set out in quality manuals and workplace procedures.</w:t>
      </w:r>
    </w:p>
    <w:p w:rsidR="00000000" w:rsidRPr="00E30EEC" w:rsidP="00E30EEC">
      <w:pPr>
        <w:pStyle w:val="BodyText"/>
      </w:pPr>
    </w:p>
    <w:p w:rsidR="00000000" w:rsidRPr="00E30EEC" w:rsidP="00E30EEC">
      <w:pPr>
        <w:pStyle w:val="BodyText"/>
      </w:pPr>
      <w:r w:rsidRPr="00E30EEC">
        <w:t>While no specific licensing or certification requirements apply to t</w:t>
      </w:r>
      <w:r w:rsidRPr="00E30EEC">
        <w:t>his unit at the time of publication, laboratory operations are governed by relevant legislation, regulations and/or external accreditation requirements. Local requirements should be checked.</w:t>
      </w:r>
    </w:p>
    <w:p w:rsidR="00000000" w:rsidRPr="00E30EEC" w:rsidP="00E30EEC">
      <w:pPr>
        <w:pStyle w:val="AllowPageBreak"/>
      </w:pPr>
    </w:p>
    <w:p w:rsidR="00000000" w:rsidRPr="00E30EEC" w:rsidP="00E30EEC">
      <w:pPr>
        <w:pStyle w:val="Heading1"/>
      </w:pPr>
      <w:bookmarkStart w:id="3" w:name="O_902187"/>
      <w:bookmarkEnd w:id="3"/>
      <w:r w:rsidRPr="00E30EEC">
        <w:t>Pre-requisite Unit</w:t>
      </w:r>
    </w:p>
    <w:p w:rsidR="00000000" w:rsidRPr="00E30EEC" w:rsidP="00E30EEC">
      <w:pPr>
        <w:pStyle w:val="BodyText"/>
      </w:pPr>
      <w:r w:rsidRPr="00E30EEC">
        <w:t>Nil</w:t>
      </w:r>
    </w:p>
    <w:p w:rsidR="00000000" w:rsidRPr="00E30EEC" w:rsidP="00E30EEC">
      <w:pPr>
        <w:pStyle w:val="AllowPageBreak"/>
      </w:pPr>
    </w:p>
    <w:p w:rsidR="00000000" w:rsidRPr="00E30EEC" w:rsidP="00E30EEC">
      <w:pPr>
        <w:pStyle w:val="Heading1"/>
      </w:pPr>
      <w:bookmarkStart w:id="4" w:name="O_902186"/>
      <w:bookmarkEnd w:id="4"/>
      <w:r w:rsidRPr="00E30EEC">
        <w:t>Competen</w:t>
      </w:r>
      <w:r w:rsidRPr="00E30EEC">
        <w:t>cy Field</w:t>
      </w:r>
    </w:p>
    <w:p w:rsidR="00000000" w:rsidRPr="00E30EEC" w:rsidP="00E30EEC">
      <w:pPr>
        <w:pStyle w:val="BodyText"/>
      </w:pPr>
      <w:r w:rsidRPr="00E30EEC">
        <w:t xml:space="preserve">Quality </w:t>
      </w:r>
    </w:p>
    <w:p w:rsidR="00000000" w:rsidRPr="00E30EEC" w:rsidP="00E30EEC">
      <w:pPr>
        <w:pStyle w:val="AllowPageBreak"/>
      </w:pPr>
    </w:p>
    <w:p w:rsidR="00000000" w:rsidRPr="00E30EEC" w:rsidP="00E30EEC">
      <w:pPr>
        <w:pStyle w:val="Heading1"/>
      </w:pPr>
      <w:bookmarkStart w:id="5" w:name="O_902185"/>
      <w:bookmarkEnd w:id="5"/>
      <w:r w:rsidRPr="00E30EEC">
        <w:t>Unit Sector</w:t>
      </w:r>
    </w:p>
    <w:p w:rsidR="00000000" w:rsidRPr="00E30EEC" w:rsidP="00E30EEC">
      <w:pPr>
        <w:pStyle w:val="Heading1"/>
      </w:pPr>
      <w:bookmarkStart w:id="6" w:name="O_902184"/>
      <w:bookmarkEnd w:id="6"/>
      <w:r w:rsidRPr="00E30E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0EE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Performance criteria describe the performance needed to demonstrate achievement of the element.</w:t>
            </w: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1</w:t>
            </w:r>
          </w:p>
        </w:tc>
        <w:tc>
          <w:tcPr>
            <w:tcW w:w="1962" w:type="dxa"/>
            <w:vMerge w:val="restart"/>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rPr>
                <w:rStyle w:val="SpecialBold"/>
              </w:rPr>
              <w:t>Apply quality control procedures</w:t>
            </w: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1.1</w:t>
            </w:r>
          </w:p>
        </w:tc>
        <w:tc>
          <w:tcPr>
            <w:tcW w:w="561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Record data for quality control purposes</w:t>
            </w: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1.2</w:t>
            </w:r>
          </w:p>
        </w:tc>
        <w:tc>
          <w:tcPr>
            <w:tcW w:w="561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Recognise and report non-conformances in keeping with job role and quality procedures</w:t>
            </w:r>
          </w:p>
        </w:tc>
      </w:tr>
      <w:tr w:rsidTr="00E30E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2</w:t>
            </w:r>
          </w:p>
        </w:tc>
        <w:tc>
          <w:tcPr>
            <w:tcW w:w="1962" w:type="dxa"/>
            <w:vMerge w:val="restart"/>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rPr>
                <w:rStyle w:val="SpecialBold"/>
              </w:rPr>
              <w:t>Contribute to quality improvements</w:t>
            </w: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2.1</w:t>
            </w:r>
          </w:p>
        </w:tc>
        <w:tc>
          <w:tcPr>
            <w:tcW w:w="561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Review own work practices for opportunities to continuously improve performance</w:t>
            </w: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2.2</w:t>
            </w:r>
          </w:p>
        </w:tc>
        <w:tc>
          <w:tcPr>
            <w:tcW w:w="561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Identify and report opportunities for improvements in procedures, processes and equipment in work area</w:t>
            </w:r>
          </w:p>
        </w:tc>
      </w:tr>
      <w:tr w:rsidTr="00E30E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3</w:t>
            </w:r>
          </w:p>
        </w:tc>
        <w:tc>
          <w:tcPr>
            <w:tcW w:w="1962" w:type="dxa"/>
            <w:vMerge w:val="restart"/>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rPr>
                <w:rStyle w:val="SpecialBold"/>
              </w:rPr>
              <w:t>Maintain commitment to workplace quality standards in own work</w:t>
            </w: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3.1</w:t>
            </w:r>
          </w:p>
        </w:tc>
        <w:tc>
          <w:tcPr>
            <w:tcW w:w="561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Maintain an objective of 'right first time'</w:t>
            </w: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3.2</w:t>
            </w:r>
          </w:p>
        </w:tc>
        <w:tc>
          <w:tcPr>
            <w:tcW w:w="561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Conduct work in accordance with sustainability work practices</w:t>
            </w: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3.3</w:t>
            </w:r>
          </w:p>
        </w:tc>
        <w:tc>
          <w:tcPr>
            <w:tcW w:w="561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Minimise waste and rework in accordance with workplace guidelines</w:t>
            </w: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3.4</w:t>
            </w:r>
          </w:p>
        </w:tc>
        <w:tc>
          <w:tcPr>
            <w:tcW w:w="561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Demonstrate 'job ownership' for whole tasks through a commitment to finish and follow-up</w:t>
            </w: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3.5</w:t>
            </w:r>
          </w:p>
        </w:tc>
        <w:tc>
          <w:tcPr>
            <w:tcW w:w="561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Ensure that personal actions conform with the code of ethics relevant to the workplace</w:t>
            </w:r>
          </w:p>
        </w:tc>
      </w:tr>
      <w:tr w:rsidTr="00E30E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4</w:t>
            </w:r>
          </w:p>
        </w:tc>
        <w:tc>
          <w:tcPr>
            <w:tcW w:w="1962" w:type="dxa"/>
            <w:vMerge w:val="restart"/>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rPr>
                <w:rStyle w:val="SpecialBold"/>
              </w:rPr>
              <w:t>Assist in maintaining customer relationships</w:t>
            </w: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4.1</w:t>
            </w:r>
          </w:p>
        </w:tc>
        <w:tc>
          <w:tcPr>
            <w:tcW w:w="561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Demonstrate an understanding of the business goals, products and services of the workplace when dealing with customers in relation to own function</w:t>
            </w: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4.2</w:t>
            </w:r>
          </w:p>
        </w:tc>
        <w:tc>
          <w:tcPr>
            <w:tcW w:w="561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Communicate appropriately with customers in keeping with knowledge and authority limitations and quali</w:t>
            </w:r>
            <w:r w:rsidRPr="00E30EEC">
              <w:t>ty requirements</w:t>
            </w:r>
          </w:p>
        </w:tc>
      </w:tr>
      <w:tr w:rsidTr="00E30EE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30E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5</w:t>
            </w:r>
          </w:p>
        </w:tc>
        <w:tc>
          <w:tcPr>
            <w:tcW w:w="1962"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rPr>
                <w:rStyle w:val="SpecialBold"/>
              </w:rPr>
              <w:t>Update knowledge and skills as required</w:t>
            </w:r>
          </w:p>
        </w:tc>
        <w:tc>
          <w:tcPr>
            <w:tcW w:w="770" w:type="dxa"/>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5.1</w:t>
            </w:r>
          </w:p>
        </w:tc>
        <w:tc>
          <w:tcPr>
            <w:tcW w:w="5610" w:type="dxa"/>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Recognise own strengths and limitations and take advantage of opportunities for skill development</w:t>
            </w:r>
          </w:p>
        </w:tc>
      </w:tr>
    </w:tbl>
    <w:p w:rsidR="00000000" w:rsidRPr="00E30EEC" w:rsidP="00E30EEC">
      <w:pPr>
        <w:pStyle w:val="BodyText"/>
      </w:pPr>
    </w:p>
    <w:p w:rsidR="00000000" w:rsidRPr="00E30EEC" w:rsidP="00E30EEC">
      <w:pPr>
        <w:pStyle w:val="AllowPageBreak"/>
      </w:pPr>
    </w:p>
    <w:p w:rsidR="00000000" w:rsidRPr="00E30EEC" w:rsidP="00E30EEC">
      <w:pPr>
        <w:pStyle w:val="Heading1"/>
      </w:pPr>
      <w:bookmarkStart w:id="7" w:name="O_902183"/>
      <w:bookmarkEnd w:id="7"/>
      <w:r w:rsidRPr="00E30EEC">
        <w:t>Foundation Skills</w:t>
      </w:r>
    </w:p>
    <w:p w:rsidR="00000000" w:rsidRPr="00E30EEC" w:rsidP="00E30EEC">
      <w:pPr>
        <w:pStyle w:val="BodyText"/>
      </w:pPr>
      <w:r w:rsidRPr="00E30EEC">
        <w:t>This section describes those language, literacy, numeracy and employment skills that are essential to performance.</w:t>
      </w:r>
    </w:p>
    <w:p w:rsidR="00000000" w:rsidRPr="00E30EEC" w:rsidP="00E30EEC">
      <w:pPr>
        <w:pStyle w:val="BodyText"/>
      </w:pPr>
    </w:p>
    <w:p w:rsidR="00000000" w:rsidRPr="00E30EEC" w:rsidP="00E30EEC">
      <w:pPr>
        <w:pStyle w:val="BodyText"/>
      </w:pPr>
      <w:r w:rsidRPr="00E30EEC">
        <w:t>Foundation skills essential to performance are explicit in the performance criteria of this unit of competency.</w:t>
      </w:r>
    </w:p>
    <w:p w:rsidR="00000000" w:rsidRPr="00E30EEC" w:rsidP="00E30EEC">
      <w:pPr>
        <w:pStyle w:val="AllowPageBreak"/>
      </w:pPr>
    </w:p>
    <w:p w:rsidR="00000000" w:rsidRPr="00E30EEC" w:rsidP="00E30EEC">
      <w:pPr>
        <w:pStyle w:val="Heading1"/>
      </w:pPr>
      <w:bookmarkStart w:id="8" w:name="O_902182"/>
      <w:bookmarkEnd w:id="8"/>
      <w:r w:rsidRPr="00E30EEC">
        <w:t>Range of Co</w:t>
      </w:r>
      <w:r w:rsidRPr="00E30EEC">
        <w:t>nditions</w:t>
      </w:r>
    </w:p>
    <w:tbl>
      <w:tblPr>
        <w:tblW w:w="0" w:type="auto"/>
        <w:tblCellMar>
          <w:left w:w="62" w:type="dxa"/>
          <w:right w:w="62" w:type="dxa"/>
        </w:tblCellMar>
        <w:tblLook w:val="0000"/>
      </w:tblPr>
      <w:tblGrid>
        <w:gridCol w:w="2163"/>
        <w:gridCol w:w="7033"/>
      </w:tblGrid>
      <w:tr w:rsidTr="00AF58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t>This field allows for different work environments and conditions that may affect performance. Essential operating conditions that may be present (depending on the work situation, needs of the candidate, accessibility of the item, and local industr</w:t>
            </w:r>
            <w:r w:rsidRPr="00E30EEC">
              <w:t>y and regional contexts) are included.</w:t>
            </w:r>
          </w:p>
        </w:tc>
      </w:tr>
      <w:tr w:rsidTr="00AF58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 xml:space="preserve">Standards, codes, procedures and/or workplace requirements include the latest version of one or more of: </w:t>
            </w:r>
          </w:p>
          <w:p w:rsidR="00000000" w:rsidRPr="00E30EEC" w:rsidP="00E30EEC">
            <w:pPr>
              <w:pStyle w:val="ListBullet"/>
            </w:pPr>
            <w:r w:rsidRPr="00E30EEC">
              <w:t xml:space="preserve">Australian and international standards covering </w:t>
            </w:r>
            <w:r w:rsidRPr="00E30EEC">
              <w:t>the requirements for the competence of testing and calibration laboratories, and quality management</w:t>
            </w:r>
          </w:p>
          <w:p w:rsidR="00000000" w:rsidRPr="00E30EEC" w:rsidP="00E30EEC">
            <w:pPr>
              <w:pStyle w:val="ListBullet"/>
            </w:pPr>
            <w:r w:rsidRPr="00E30EEC">
              <w:t>National Association of Testing Authorities (NATA) accreditation program requirements</w:t>
            </w:r>
          </w:p>
          <w:p w:rsidR="00000000" w:rsidRPr="00E30EEC" w:rsidP="00E30EEC">
            <w:pPr>
              <w:pStyle w:val="ListBullet"/>
            </w:pPr>
            <w:r w:rsidRPr="00E30EEC">
              <w:t>national measurement regulations and guidelines</w:t>
            </w:r>
          </w:p>
          <w:p w:rsidR="00000000" w:rsidRPr="00E30EEC" w:rsidP="00E30EEC">
            <w:pPr>
              <w:pStyle w:val="ListBullet"/>
            </w:pPr>
            <w:r w:rsidRPr="00E30EEC">
              <w:t>specific codes, guidelines, procedures and methods, such as Australia New Zealand Food Standards (ANZFS) Code, Australian code of good manufacturing practice for medicinal products (GMP), and principles of good laboratory practice (GLP)</w:t>
            </w:r>
          </w:p>
          <w:p w:rsidR="00000000" w:rsidRPr="00E30EEC" w:rsidP="00E30EEC">
            <w:pPr>
              <w:pStyle w:val="ListBullet"/>
            </w:pPr>
            <w:r w:rsidRPr="00E30EEC">
              <w:t>workplace documents</w:t>
            </w:r>
            <w:r w:rsidRPr="00E30EEC">
              <w:t>, such as standard operating procedures (SOPs), quality and equipment manuals, calibration and maintenance schedules, material safety data sheets (MSDS) and safety procedures, material, production and product specifications, production and laboratory sched</w:t>
            </w:r>
            <w:r w:rsidRPr="00E30EEC">
              <w:t>ules, workplace recording and reporting procedures, waste minimisation and safe disposal procedures</w:t>
            </w:r>
          </w:p>
          <w:p w:rsidR="00000000" w:rsidRPr="00E30EEC" w:rsidP="00E30EEC">
            <w:pPr>
              <w:pStyle w:val="ListBullet"/>
            </w:pPr>
            <w:r w:rsidRPr="00E30EEC">
              <w:t>customer specific requirements/standards</w:t>
            </w:r>
          </w:p>
          <w:p w:rsidR="00000000" w:rsidP="00E30EEC">
            <w:pPr>
              <w:pStyle w:val="BodyText"/>
              <w:rPr>
                <w:lang w:val="en-NZ"/>
              </w:rPr>
            </w:pPr>
          </w:p>
        </w:tc>
      </w:tr>
      <w:tr w:rsidTr="00AF58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rPr>
                <w:rStyle w:val="SpecialBold"/>
              </w:rPr>
              <w:t xml:space="preserve">Quality control procedures </w:t>
            </w:r>
          </w:p>
        </w:tc>
        <w:tc>
          <w:tcPr>
            <w:tcW w:w="0" w:type="auto"/>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Quality control procedures include one or more of:</w:t>
            </w:r>
          </w:p>
          <w:p w:rsidR="00000000" w:rsidRPr="00E30EEC" w:rsidP="00E30EEC">
            <w:pPr>
              <w:pStyle w:val="ListBullet"/>
            </w:pPr>
            <w:r w:rsidRPr="00E30EEC">
              <w:t>standards imposed by regulatory a</w:t>
            </w:r>
            <w:r w:rsidRPr="00E30EEC">
              <w:t>nd licensing bodies</w:t>
            </w:r>
          </w:p>
          <w:p w:rsidR="00000000" w:rsidRPr="00E30EEC" w:rsidP="00E30EEC">
            <w:pPr>
              <w:pStyle w:val="ListBullet"/>
            </w:pPr>
            <w:r w:rsidRPr="00E30EEC">
              <w:t>workplace quality procedures</w:t>
            </w:r>
          </w:p>
          <w:p w:rsidR="00000000" w:rsidRPr="00E30EEC" w:rsidP="00E30EEC">
            <w:pPr>
              <w:pStyle w:val="ListBullet"/>
            </w:pPr>
            <w:r w:rsidRPr="00E30EEC">
              <w:t>working to a customer brief and associated quality procedures</w:t>
            </w:r>
          </w:p>
          <w:p w:rsidR="00000000" w:rsidRPr="00E30EEC" w:rsidP="00E30EEC">
            <w:pPr>
              <w:pStyle w:val="ListBullet"/>
            </w:pPr>
            <w:r w:rsidRPr="00E30EEC">
              <w:t>checklists to monitor job progress against agreed time, costs and quality standards</w:t>
            </w:r>
          </w:p>
          <w:p w:rsidR="00000000" w:rsidRPr="00E30EEC" w:rsidP="00E30EEC">
            <w:pPr>
              <w:pStyle w:val="ListBullet"/>
            </w:pPr>
            <w:r w:rsidRPr="00E30EEC">
              <w:t>the use of hold points to evaluate conformance</w:t>
            </w:r>
          </w:p>
          <w:p w:rsidR="00000000" w:rsidRPr="00E30EEC" w:rsidP="00E30EEC">
            <w:pPr>
              <w:pStyle w:val="ListBullet"/>
            </w:pPr>
            <w:r w:rsidRPr="00E30EEC">
              <w:t>the use of ins</w:t>
            </w:r>
            <w:r w:rsidRPr="00E30EEC">
              <w:t>pection and test plans to check compliance</w:t>
            </w:r>
          </w:p>
          <w:p w:rsidR="00000000" w:rsidP="00E30EEC">
            <w:pPr>
              <w:pStyle w:val="BodyText"/>
              <w:rPr>
                <w:lang w:val="en-NZ"/>
              </w:rPr>
            </w:pPr>
          </w:p>
        </w:tc>
      </w:tr>
      <w:tr w:rsidTr="00AF58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rPr>
                <w:rStyle w:val="SpecialBold"/>
              </w:rPr>
              <w:t xml:space="preserve">Sustainable work practices </w:t>
            </w:r>
          </w:p>
        </w:tc>
        <w:tc>
          <w:tcPr>
            <w:tcW w:w="0" w:type="auto"/>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Sustainable work practices include, but not limited to, one or more of:</w:t>
            </w:r>
          </w:p>
          <w:p w:rsidR="00000000" w:rsidRPr="00E30EEC" w:rsidP="00E30EEC">
            <w:pPr>
              <w:pStyle w:val="ListBullet"/>
            </w:pPr>
            <w:r w:rsidRPr="00E30EEC">
              <w:t>examining work practices that use excessive electricity</w:t>
            </w:r>
          </w:p>
          <w:p w:rsidR="00000000" w:rsidRPr="00E30EEC" w:rsidP="00E30EEC">
            <w:pPr>
              <w:pStyle w:val="ListBullet"/>
            </w:pPr>
            <w:r w:rsidRPr="00E30EEC">
              <w:t>switching off equipment when not in use</w:t>
            </w:r>
          </w:p>
          <w:p w:rsidR="00000000" w:rsidRPr="00E30EEC" w:rsidP="00E30EEC">
            <w:pPr>
              <w:pStyle w:val="ListBullet"/>
            </w:pPr>
            <w:r w:rsidRPr="00E30EEC">
              <w:t>regularly c</w:t>
            </w:r>
            <w:r w:rsidRPr="00E30EEC">
              <w:t>leaning filters</w:t>
            </w:r>
          </w:p>
          <w:p w:rsidR="00000000" w:rsidRPr="00E30EEC" w:rsidP="00E30EEC">
            <w:pPr>
              <w:pStyle w:val="ListBullet"/>
            </w:pPr>
            <w:r w:rsidRPr="00E30EEC">
              <w:t>insulating rooms and buildings to reduce energy use</w:t>
            </w:r>
          </w:p>
          <w:p w:rsidR="00000000" w:rsidRPr="00E30EEC" w:rsidP="00E30EEC">
            <w:pPr>
              <w:pStyle w:val="ListBullet"/>
            </w:pPr>
            <w:r w:rsidRPr="00E30EEC">
              <w:t>recycling and reusing materials wherever practicable</w:t>
            </w:r>
          </w:p>
          <w:p w:rsidR="00000000" w:rsidRPr="00E30EEC" w:rsidP="00E30EEC">
            <w:pPr>
              <w:pStyle w:val="ListBullet"/>
            </w:pPr>
            <w:r w:rsidRPr="00E30EEC">
              <w:t>minimising process waste</w:t>
            </w:r>
          </w:p>
          <w:p w:rsidR="00000000" w:rsidP="00E30EEC">
            <w:pPr>
              <w:pStyle w:val="BodyText"/>
              <w:rPr>
                <w:lang w:val="en-NZ"/>
              </w:rPr>
            </w:pPr>
          </w:p>
        </w:tc>
      </w:tr>
      <w:tr w:rsidTr="00AF58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rPr>
                <w:rStyle w:val="SpecialBold"/>
              </w:rPr>
              <w:t xml:space="preserve">Reporting </w:t>
            </w:r>
          </w:p>
        </w:tc>
        <w:tc>
          <w:tcPr>
            <w:tcW w:w="0" w:type="auto"/>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Reporting involves one or more of:</w:t>
            </w:r>
          </w:p>
          <w:p w:rsidR="00000000" w:rsidRPr="00E30EEC" w:rsidP="00E30EEC">
            <w:pPr>
              <w:pStyle w:val="ListBullet"/>
            </w:pPr>
            <w:r w:rsidRPr="00E30EEC">
              <w:t>verbal responses</w:t>
            </w:r>
          </w:p>
          <w:p w:rsidR="00000000" w:rsidRPr="00E30EEC" w:rsidP="00E30EEC">
            <w:pPr>
              <w:pStyle w:val="ListBullet"/>
            </w:pPr>
            <w:r w:rsidRPr="00E30EEC">
              <w:t>data entry into laboratory information management system (LIMS) or workplace databases</w:t>
            </w:r>
          </w:p>
          <w:p w:rsidR="00000000" w:rsidRPr="00E30EEC" w:rsidP="00E30EEC">
            <w:pPr>
              <w:pStyle w:val="ListBullet"/>
            </w:pPr>
            <w:r w:rsidRPr="00E30EEC">
              <w:t>brief written reports using workplace proformas</w:t>
            </w:r>
          </w:p>
          <w:p w:rsidR="00000000" w:rsidP="00E30EEC">
            <w:pPr>
              <w:pStyle w:val="BodyText"/>
              <w:rPr>
                <w:lang w:val="en-NZ"/>
              </w:rPr>
            </w:pPr>
          </w:p>
        </w:tc>
      </w:tr>
      <w:tr w:rsidTr="00AF58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rPr>
                <w:rStyle w:val="SpecialBold"/>
              </w:rPr>
              <w:t xml:space="preserve">Quality improvement opportunities </w:t>
            </w:r>
          </w:p>
        </w:tc>
        <w:tc>
          <w:tcPr>
            <w:tcW w:w="0" w:type="auto"/>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Quality improvement opportunities that relate to the work of laboratory assistants i</w:t>
            </w:r>
            <w:r w:rsidRPr="00E30EEC">
              <w:t>nclude one or more of:</w:t>
            </w:r>
          </w:p>
          <w:p w:rsidR="00000000" w:rsidRPr="00E30EEC" w:rsidP="00E30EEC">
            <w:pPr>
              <w:pStyle w:val="ListBullet"/>
            </w:pPr>
            <w:r w:rsidRPr="00E30EEC">
              <w:t>improved methods for sampling, testing and recording data</w:t>
            </w:r>
          </w:p>
          <w:p w:rsidR="00000000" w:rsidRPr="00E30EEC" w:rsidP="00E30EEC">
            <w:pPr>
              <w:pStyle w:val="ListBullet"/>
            </w:pPr>
            <w:r w:rsidRPr="00E30EEC">
              <w:t>improved hygiene and sanitation procedures</w:t>
            </w:r>
          </w:p>
          <w:p w:rsidR="00000000" w:rsidRPr="00E30EEC" w:rsidP="00E30EEC">
            <w:pPr>
              <w:pStyle w:val="ListBullet"/>
            </w:pPr>
            <w:r w:rsidRPr="00E30EEC">
              <w:t>minimisation of waste and rework</w:t>
            </w:r>
          </w:p>
          <w:p w:rsidR="00000000" w:rsidRPr="00E30EEC" w:rsidP="00E30EEC">
            <w:pPr>
              <w:pStyle w:val="ListBullet"/>
            </w:pPr>
            <w:r w:rsidRPr="00E30EEC">
              <w:t>improved laboratory layout and work flow</w:t>
            </w:r>
          </w:p>
          <w:p w:rsidR="00000000" w:rsidP="00E30EEC">
            <w:pPr>
              <w:pStyle w:val="BodyText"/>
              <w:rPr>
                <w:lang w:val="en-NZ"/>
              </w:rPr>
            </w:pPr>
          </w:p>
        </w:tc>
      </w:tr>
      <w:tr w:rsidTr="00AF58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0EEC">
            <w:pPr>
              <w:pStyle w:val="BodyText"/>
              <w:rPr>
                <w:lang w:val="en-NZ"/>
              </w:rPr>
            </w:pPr>
            <w:r w:rsidRPr="00E30EEC">
              <w:rPr>
                <w:rStyle w:val="SpecialBold"/>
              </w:rPr>
              <w:t>Work health and safety (WHS) and environmental manageme</w:t>
            </w:r>
            <w:r w:rsidRPr="00E30EEC">
              <w:rPr>
                <w:rStyle w:val="SpecialBold"/>
              </w:rPr>
              <w:t xml:space="preserve">nt requirements </w:t>
            </w:r>
          </w:p>
        </w:tc>
        <w:tc>
          <w:tcPr>
            <w:tcW w:w="0" w:type="auto"/>
            <w:tcBorders>
              <w:top w:val="nil"/>
              <w:left w:val="nil"/>
              <w:bottom w:val="nil"/>
              <w:right w:val="nil"/>
            </w:tcBorders>
            <w:tcMar>
              <w:top w:w="0" w:type="dxa"/>
              <w:left w:w="62" w:type="dxa"/>
              <w:bottom w:w="0" w:type="dxa"/>
              <w:right w:w="62" w:type="dxa"/>
            </w:tcMar>
          </w:tcPr>
          <w:p w:rsidR="00000000" w:rsidRPr="00E30EEC" w:rsidP="00E30EEC">
            <w:pPr>
              <w:pStyle w:val="BodyText"/>
            </w:pPr>
            <w:r w:rsidRPr="00E30EEC">
              <w:t>WHS and environmental management requirements include:</w:t>
            </w:r>
          </w:p>
          <w:p w:rsidR="00000000" w:rsidRPr="00E30EEC" w:rsidP="00E30EEC">
            <w:pPr>
              <w:pStyle w:val="BodyText"/>
            </w:pPr>
            <w:r w:rsidRPr="00E30EEC">
              <w:rPr>
                <w:rStyle w:val="Symbols"/>
              </w:rPr>
              <w:t></w:t>
            </w:r>
            <w:r w:rsidRPr="00E30EEC">
              <w:rPr>
                <w:rStyle w:val="Symbols"/>
              </w:rPr>
              <w:tab/>
            </w:r>
            <w:r w:rsidRPr="00E30EEC">
              <w:t>complying with WHS and environmental management requirements at all times, which may be imposed through state/territory or federal legislation. These requirements must not be comprom</w:t>
            </w:r>
            <w:r w:rsidRPr="00E30EEC">
              <w:t>ised at any time</w:t>
            </w:r>
          </w:p>
          <w:p w:rsidR="00000000" w:rsidRPr="00E30EEC" w:rsidP="00E30EEC">
            <w:pPr>
              <w:pStyle w:val="BodyText"/>
            </w:pPr>
            <w:r w:rsidRPr="00E30EEC">
              <w:rPr>
                <w:rStyle w:val="Symbols"/>
              </w:rPr>
              <w:t></w:t>
            </w:r>
            <w:r w:rsidRPr="00E30EEC">
              <w:rPr>
                <w:rStyle w:val="Symbols"/>
              </w:rPr>
              <w:tab/>
            </w:r>
            <w:r w:rsidRPr="00E30EEC">
              <w:t>applying standard precautions relating to the potentially hazardous nature of samples</w:t>
            </w:r>
          </w:p>
          <w:p w:rsidR="00000000" w:rsidRPr="00E30EEC" w:rsidP="00E30EEC">
            <w:pPr>
              <w:pStyle w:val="ListBullet"/>
            </w:pPr>
            <w:r w:rsidRPr="00E30EEC">
              <w:t xml:space="preserve">accessing and applying current industry understanding of infection control issued </w:t>
            </w:r>
            <w:r w:rsidRPr="00E30EEC">
              <w:t>by the National Health and Medical Research Council (NHMRC) and State and Territory Departments of Health, where relevant</w:t>
            </w:r>
          </w:p>
        </w:tc>
      </w:tr>
    </w:tbl>
    <w:p w:rsidR="00000000" w:rsidRPr="00E30EEC" w:rsidP="00E30EEC">
      <w:pPr>
        <w:pStyle w:val="BodyText"/>
      </w:pPr>
    </w:p>
    <w:p w:rsidR="00000000" w:rsidRPr="00E30EEC" w:rsidP="00E30EEC">
      <w:pPr>
        <w:pStyle w:val="AllowPageBreak"/>
      </w:pPr>
    </w:p>
    <w:p w:rsidR="00000000" w:rsidRPr="00E30EEC" w:rsidP="00E30EEC">
      <w:pPr>
        <w:pStyle w:val="Heading1"/>
      </w:pPr>
      <w:bookmarkStart w:id="9" w:name="O_902181"/>
      <w:bookmarkEnd w:id="9"/>
      <w:r w:rsidRPr="00E30EEC">
        <w:t>Unit Mapping Information</w:t>
      </w:r>
    </w:p>
    <w:p w:rsidR="00000000" w:rsidRPr="00E30EEC" w:rsidP="00E30EEC">
      <w:pPr>
        <w:pStyle w:val="BodyText"/>
      </w:pPr>
      <w:r w:rsidRPr="00E30EEC">
        <w:t>Release 1. Supersedes and is equivalent to MSL933002A Contribute to the achievement of qua</w:t>
      </w:r>
      <w:r w:rsidRPr="00E30EEC">
        <w:t>lity objectives</w:t>
      </w:r>
    </w:p>
    <w:p w:rsidR="00000000" w:rsidRPr="00E30EEC" w:rsidP="00E30EEC">
      <w:pPr>
        <w:pStyle w:val="AllowPageBreak"/>
      </w:pPr>
    </w:p>
    <w:p w:rsidR="00000000" w:rsidRPr="00E30EEC" w:rsidP="00E30EEC">
      <w:pPr>
        <w:pStyle w:val="Heading1"/>
      </w:pPr>
      <w:bookmarkStart w:id="10" w:name="O_902174"/>
      <w:bookmarkEnd w:id="10"/>
      <w:r w:rsidRPr="00E30EEC">
        <w:t>Links</w:t>
      </w:r>
    </w:p>
    <w:p w:rsidR="00000000" w:rsidRPr="00E30EEC" w:rsidP="00E30EEC">
      <w:pPr>
        <w:pStyle w:val="BodyText"/>
      </w:pPr>
      <w:r w:rsidRPr="00E30EEC">
        <w:t>MSA Training Package Implementation Guides - http://mskills.org.au/training-packages/info/</w:t>
      </w:r>
    </w:p>
    <w:p w:rsidR="00000000" w:rsidRPr="00E30EEC" w:rsidP="00E30EEC"/>
    <w:sectPr w:rsidSect="00E30E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EC" w:rsidRPr="00AF5817" w:rsidP="00AF58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17" w:rsidP="00E30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F5817" w:rsidP="00E30EE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5817" w:rsidP="00E30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EC" w:rsidRPr="00AF5817" w:rsidP="00AF58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17" w:rsidRPr="002D2AF8" w:rsidP="00E30EEC">
    <w:pPr>
      <w:pStyle w:val="Header"/>
      <w:framePr w:wrap="around"/>
    </w:pPr>
    <w:r>
      <w:fldChar w:fldCharType="begin"/>
    </w:r>
    <w:r>
      <w:instrText xml:space="preserve"> TITLE   \* MERGEFORMAT </w:instrText>
    </w:r>
    <w:r>
      <w:fldChar w:fldCharType="separate"/>
    </w:r>
    <w:r>
      <w:t>MSL933002 Contribute to the achievement of quality objectives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AF5817" w:rsidP="00E30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C8DC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90E7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EEC"/>
    <w:pPr>
      <w:spacing w:before="360" w:after="60"/>
      <w:outlineLvl w:val="0"/>
    </w:pPr>
    <w:rPr>
      <w:sz w:val="32"/>
    </w:rPr>
  </w:style>
  <w:style w:type="paragraph" w:styleId="Heading2">
    <w:name w:val="heading 2"/>
    <w:basedOn w:val="HeadingBase"/>
    <w:next w:val="BodyText"/>
    <w:link w:val="Heading2Char"/>
    <w:qFormat/>
    <w:rsid w:val="00E30EEC"/>
    <w:pPr>
      <w:keepLines/>
      <w:spacing w:before="240" w:after="120"/>
      <w:outlineLvl w:val="1"/>
    </w:pPr>
    <w:rPr>
      <w:sz w:val="28"/>
      <w:szCs w:val="40"/>
    </w:rPr>
  </w:style>
  <w:style w:type="paragraph" w:styleId="Heading3">
    <w:name w:val="heading 3"/>
    <w:basedOn w:val="HeadingBase"/>
    <w:next w:val="BodyText"/>
    <w:link w:val="Heading3Char"/>
    <w:qFormat/>
    <w:rsid w:val="00E30EEC"/>
    <w:pPr>
      <w:spacing w:before="180" w:after="120"/>
      <w:outlineLvl w:val="2"/>
    </w:pPr>
    <w:rPr>
      <w:spacing w:val="-10"/>
      <w:kern w:val="32"/>
    </w:rPr>
  </w:style>
  <w:style w:type="paragraph" w:styleId="Heading4">
    <w:name w:val="heading 4"/>
    <w:basedOn w:val="HeadingBase"/>
    <w:next w:val="BodyText"/>
    <w:link w:val="Heading4Char"/>
    <w:qFormat/>
    <w:rsid w:val="00E30EEC"/>
    <w:pPr>
      <w:spacing w:before="160" w:after="120"/>
      <w:outlineLvl w:val="3"/>
    </w:pPr>
    <w:rPr>
      <w:sz w:val="22"/>
    </w:rPr>
  </w:style>
  <w:style w:type="paragraph" w:styleId="Heading5">
    <w:name w:val="heading 5"/>
    <w:basedOn w:val="HeadingBase"/>
    <w:next w:val="Normal"/>
    <w:link w:val="Heading5Char"/>
    <w:qFormat/>
    <w:rsid w:val="00E30EEC"/>
    <w:pPr>
      <w:spacing w:before="80"/>
      <w:outlineLvl w:val="4"/>
    </w:pPr>
    <w:rPr>
      <w:color w:val="918585"/>
      <w:sz w:val="20"/>
    </w:rPr>
  </w:style>
  <w:style w:type="paragraph" w:styleId="Heading6">
    <w:name w:val="heading 6"/>
    <w:basedOn w:val="HeadingBase"/>
    <w:next w:val="Normal"/>
    <w:link w:val="Heading6Char"/>
    <w:qFormat/>
    <w:rsid w:val="00E30EEC"/>
    <w:pPr>
      <w:spacing w:before="60"/>
      <w:outlineLvl w:val="5"/>
    </w:pPr>
    <w:rPr>
      <w:color w:val="918585"/>
      <w:sz w:val="20"/>
    </w:rPr>
  </w:style>
  <w:style w:type="paragraph" w:styleId="Heading7">
    <w:name w:val="heading 7"/>
    <w:basedOn w:val="Normal"/>
    <w:next w:val="Normal"/>
    <w:link w:val="Heading7Char"/>
    <w:qFormat/>
    <w:rsid w:val="00E30EEC"/>
    <w:pPr>
      <w:ind w:left="720"/>
      <w:outlineLvl w:val="6"/>
    </w:pPr>
    <w:rPr>
      <w:i/>
    </w:rPr>
  </w:style>
  <w:style w:type="paragraph" w:styleId="Heading8">
    <w:name w:val="heading 8"/>
    <w:basedOn w:val="Normal"/>
    <w:next w:val="Normal"/>
    <w:link w:val="Heading8Char"/>
    <w:qFormat/>
    <w:rsid w:val="00E30EEC"/>
    <w:pPr>
      <w:ind w:left="720"/>
      <w:outlineLvl w:val="7"/>
    </w:pPr>
    <w:rPr>
      <w:i/>
    </w:rPr>
  </w:style>
  <w:style w:type="paragraph" w:styleId="Heading9">
    <w:name w:val="heading 9"/>
    <w:basedOn w:val="Normal"/>
    <w:next w:val="Normal"/>
    <w:link w:val="Heading9Char"/>
    <w:qFormat/>
    <w:rsid w:val="00E30EEC"/>
    <w:pPr>
      <w:ind w:left="720"/>
      <w:outlineLvl w:val="8"/>
    </w:pPr>
    <w:rPr>
      <w:i/>
    </w:rPr>
  </w:style>
  <w:style w:type="character" w:default="1" w:styleId="DefaultParagraphFont">
    <w:name w:val="Default Paragraph Font"/>
    <w:uiPriority w:val="1"/>
    <w:unhideWhenUsed/>
    <w:rsid w:val="00E30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EEC"/>
  </w:style>
  <w:style w:type="character" w:customStyle="1" w:styleId="Heading1Char">
    <w:name w:val="Heading 1 Char"/>
    <w:basedOn w:val="DefaultParagraphFont"/>
    <w:link w:val="Heading1"/>
    <w:rsid w:val="00E30EEC"/>
    <w:rPr>
      <w:rFonts w:ascii="Times New Roman" w:eastAsia="Times New Roman" w:hAnsi="Times New Roman" w:cs="Times New Roman"/>
      <w:b/>
      <w:sz w:val="32"/>
      <w:szCs w:val="20"/>
      <w:lang w:eastAsia="en-US"/>
    </w:rPr>
  </w:style>
  <w:style w:type="paragraph" w:styleId="BodyText">
    <w:name w:val="Body Text"/>
    <w:basedOn w:val="Normal"/>
    <w:link w:val="BodyTextChar"/>
    <w:rsid w:val="00E30E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0EEC"/>
    <w:rPr>
      <w:rFonts w:ascii="Times New Roman" w:eastAsia="Times New Roman" w:hAnsi="Times New Roman" w:cs="Times New Roman"/>
      <w:sz w:val="24"/>
      <w:lang w:eastAsia="en-US"/>
    </w:rPr>
  </w:style>
  <w:style w:type="paragraph" w:styleId="ListBullet">
    <w:name w:val="List Bullet"/>
    <w:basedOn w:val="List"/>
    <w:rsid w:val="00E30EEC"/>
    <w:pPr>
      <w:numPr>
        <w:numId w:val="12"/>
      </w:numPr>
      <w:tabs>
        <w:tab w:val="clear" w:pos="340"/>
      </w:tabs>
      <w:spacing w:before="40" w:after="40"/>
    </w:pPr>
  </w:style>
  <w:style w:type="character" w:customStyle="1" w:styleId="SpecialBold">
    <w:name w:val="Special Bold"/>
    <w:basedOn w:val="DefaultParagraphFont"/>
    <w:rsid w:val="00E30EEC"/>
    <w:rPr>
      <w:b/>
      <w:spacing w:val="0"/>
    </w:rPr>
  </w:style>
  <w:style w:type="paragraph" w:customStyle="1" w:styleId="SuperHeading">
    <w:name w:val="SuperHeading"/>
    <w:basedOn w:val="Normal"/>
    <w:rsid w:val="00E30EEC"/>
    <w:pPr>
      <w:spacing w:before="240" w:after="120"/>
      <w:outlineLvl w:val="0"/>
    </w:pPr>
    <w:rPr>
      <w:rFonts w:ascii="Times New Roman" w:hAnsi="Times New Roman"/>
      <w:b/>
      <w:sz w:val="32"/>
    </w:rPr>
  </w:style>
  <w:style w:type="paragraph" w:customStyle="1" w:styleId="AllowPageBreak">
    <w:name w:val="AllowPageBreak"/>
    <w:rsid w:val="00E30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30EEC"/>
    <w:rPr>
      <w:rFonts w:ascii="Symbol" w:hAnsi="Symbol"/>
    </w:rPr>
  </w:style>
  <w:style w:type="character" w:customStyle="1" w:styleId="Heading2Char">
    <w:name w:val="Heading 2 Char"/>
    <w:basedOn w:val="DefaultParagraphFont"/>
    <w:link w:val="Heading2"/>
    <w:rsid w:val="00E30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EEC"/>
    <w:rPr>
      <w:rFonts w:ascii="Courier New" w:eastAsia="Times New Roman" w:hAnsi="Courier New" w:cs="Times New Roman"/>
      <w:i/>
      <w:szCs w:val="20"/>
      <w:lang w:eastAsia="en-US"/>
    </w:rPr>
  </w:style>
  <w:style w:type="paragraph" w:customStyle="1" w:styleId="HeadingBase">
    <w:name w:val="Heading Base"/>
    <w:rsid w:val="00E30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EEC"/>
    <w:pPr>
      <w:tabs>
        <w:tab w:val="right" w:leader="dot" w:pos="9072"/>
      </w:tabs>
      <w:ind w:left="567"/>
    </w:pPr>
    <w:rPr>
      <w:szCs w:val="22"/>
    </w:rPr>
  </w:style>
  <w:style w:type="paragraph" w:customStyle="1" w:styleId="TOCBase">
    <w:name w:val="TOC Base"/>
    <w:rsid w:val="00E30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EEC"/>
    <w:pPr>
      <w:tabs>
        <w:tab w:val="right" w:leader="dot" w:pos="9072"/>
      </w:tabs>
      <w:spacing w:before="40" w:after="40"/>
      <w:ind w:left="284"/>
    </w:pPr>
    <w:rPr>
      <w:rFonts w:ascii="Times New Roman" w:hAnsi="Times New Roman"/>
    </w:rPr>
  </w:style>
  <w:style w:type="paragraph" w:styleId="TOC1">
    <w:name w:val="toc 1"/>
    <w:basedOn w:val="TOCBase"/>
    <w:next w:val="Normal"/>
    <w:rsid w:val="00E30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EEC"/>
    <w:rPr>
      <w:rFonts w:ascii="Times New Roman" w:eastAsia="Times New Roman" w:hAnsi="Times New Roman" w:cs="Times New Roman"/>
      <w:sz w:val="16"/>
      <w:lang w:eastAsia="en-US"/>
    </w:rPr>
  </w:style>
  <w:style w:type="paragraph" w:styleId="Title">
    <w:name w:val="Title"/>
    <w:basedOn w:val="HeadingBase"/>
    <w:link w:val="TitleChar"/>
    <w:qFormat/>
    <w:rsid w:val="00E30EEC"/>
    <w:pPr>
      <w:spacing w:before="5040"/>
      <w:jc w:val="center"/>
    </w:pPr>
    <w:rPr>
      <w:sz w:val="48"/>
      <w:szCs w:val="72"/>
      <w:lang w:val="en-US"/>
    </w:rPr>
  </w:style>
  <w:style w:type="character" w:customStyle="1" w:styleId="TitleChar">
    <w:name w:val="Title Char"/>
    <w:basedOn w:val="DefaultParagraphFont"/>
    <w:link w:val="Title"/>
    <w:rsid w:val="00E30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EEC"/>
    <w:pPr>
      <w:tabs>
        <w:tab w:val="left" w:pos="3600"/>
        <w:tab w:val="left" w:pos="3958"/>
      </w:tabs>
    </w:pPr>
  </w:style>
  <w:style w:type="paragraph" w:styleId="List">
    <w:name w:val="List"/>
    <w:basedOn w:val="BodyText"/>
    <w:next w:val="BodyText"/>
    <w:rsid w:val="00E30EEC"/>
    <w:pPr>
      <w:tabs>
        <w:tab w:val="left" w:pos="340"/>
      </w:tabs>
      <w:spacing w:before="60" w:after="60"/>
      <w:ind w:left="340" w:hanging="340"/>
    </w:pPr>
  </w:style>
  <w:style w:type="paragraph" w:customStyle="1" w:styleId="Note">
    <w:name w:val="Note"/>
    <w:basedOn w:val="BodyText"/>
    <w:rsid w:val="00E30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EEC"/>
    <w:pPr>
      <w:framePr w:wrap="auto" w:hAnchor="text" w:y="6049"/>
    </w:pPr>
    <w:rPr>
      <w:color w:val="000000"/>
      <w:sz w:val="40"/>
    </w:rPr>
  </w:style>
  <w:style w:type="paragraph" w:customStyle="1" w:styleId="TOCTitle">
    <w:name w:val="TOCTitle"/>
    <w:basedOn w:val="Heading1"/>
    <w:rsid w:val="00E30EEC"/>
    <w:pPr>
      <w:spacing w:after="240"/>
      <w:jc w:val="center"/>
      <w:outlineLvl w:val="9"/>
    </w:pPr>
    <w:rPr>
      <w:caps/>
    </w:rPr>
  </w:style>
  <w:style w:type="paragraph" w:customStyle="1" w:styleId="Version">
    <w:name w:val="Version"/>
    <w:rsid w:val="00E30E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EEC"/>
    <w:pPr>
      <w:numPr>
        <w:numId w:val="13"/>
      </w:numPr>
      <w:tabs>
        <w:tab w:val="clear" w:pos="680"/>
      </w:tabs>
    </w:pPr>
  </w:style>
  <w:style w:type="paragraph" w:styleId="Index1">
    <w:name w:val="index 1"/>
    <w:basedOn w:val="Normal"/>
    <w:next w:val="Normal"/>
    <w:semiHidden/>
    <w:rsid w:val="00E30EEC"/>
    <w:pPr>
      <w:keepNext w:val="0"/>
      <w:tabs>
        <w:tab w:val="right" w:pos="4176"/>
      </w:tabs>
      <w:ind w:left="198" w:hanging="198"/>
    </w:pPr>
    <w:rPr>
      <w:rFonts w:ascii="Garamond" w:hAnsi="Garamond"/>
    </w:rPr>
  </w:style>
  <w:style w:type="paragraph" w:styleId="IndexHeading">
    <w:name w:val="index heading"/>
    <w:basedOn w:val="Normal"/>
    <w:next w:val="Index1"/>
    <w:semiHidden/>
    <w:rsid w:val="00E30EEC"/>
    <w:pPr>
      <w:spacing w:before="120" w:after="120"/>
    </w:pPr>
    <w:rPr>
      <w:rFonts w:ascii="Arial" w:hAnsi="Arial"/>
      <w:b/>
      <w:color w:val="918585"/>
      <w:sz w:val="24"/>
    </w:rPr>
  </w:style>
  <w:style w:type="paragraph" w:styleId="Header">
    <w:name w:val="header"/>
    <w:basedOn w:val="Normal"/>
    <w:link w:val="HeaderChar"/>
    <w:rsid w:val="00E30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EEC"/>
    <w:rPr>
      <w:rFonts w:ascii="Times New Roman" w:eastAsia="Times New Roman" w:hAnsi="Times New Roman" w:cs="Times New Roman"/>
      <w:sz w:val="16"/>
      <w:szCs w:val="20"/>
      <w:lang w:val="en-GB" w:eastAsia="en-US"/>
    </w:rPr>
  </w:style>
  <w:style w:type="paragraph" w:customStyle="1" w:styleId="Chapter">
    <w:name w:val="Chapter"/>
    <w:basedOn w:val="Normal"/>
    <w:rsid w:val="00E30EEC"/>
    <w:pPr>
      <w:spacing w:before="240"/>
    </w:pPr>
    <w:rPr>
      <w:rFonts w:ascii="Times New Roman" w:hAnsi="Times New Roman"/>
      <w:smallCaps/>
      <w:spacing w:val="80"/>
      <w:sz w:val="28"/>
    </w:rPr>
  </w:style>
  <w:style w:type="paragraph" w:customStyle="1" w:styleId="InChapter">
    <w:name w:val="InChapter"/>
    <w:basedOn w:val="Heading3"/>
    <w:rsid w:val="00E30EEC"/>
    <w:pPr>
      <w:spacing w:after="240"/>
      <w:outlineLvl w:val="9"/>
    </w:pPr>
    <w:rPr>
      <w:noProof/>
    </w:rPr>
  </w:style>
  <w:style w:type="paragraph" w:styleId="Index2">
    <w:name w:val="index 2"/>
    <w:basedOn w:val="Normal"/>
    <w:next w:val="Normal"/>
    <w:semiHidden/>
    <w:rsid w:val="00E30EEC"/>
    <w:pPr>
      <w:tabs>
        <w:tab w:val="right" w:pos="4176"/>
      </w:tabs>
      <w:ind w:left="568" w:hanging="284"/>
    </w:pPr>
    <w:rPr>
      <w:rFonts w:ascii="Garamond" w:hAnsi="Garamond"/>
    </w:rPr>
  </w:style>
  <w:style w:type="paragraph" w:customStyle="1" w:styleId="Byline">
    <w:name w:val="Byline"/>
    <w:rsid w:val="00E30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EEC"/>
    <w:pPr>
      <w:tabs>
        <w:tab w:val="clear" w:pos="3600"/>
        <w:tab w:val="clear" w:pos="3958"/>
      </w:tabs>
      <w:jc w:val="right"/>
    </w:pPr>
  </w:style>
  <w:style w:type="character" w:styleId="Emphasis">
    <w:name w:val="Emphasis"/>
    <w:basedOn w:val="DefaultParagraphFont"/>
    <w:qFormat/>
    <w:rsid w:val="00E30EEC"/>
    <w:rPr>
      <w:i/>
    </w:rPr>
  </w:style>
  <w:style w:type="paragraph" w:styleId="Caption">
    <w:name w:val="caption"/>
    <w:basedOn w:val="BodyText"/>
    <w:next w:val="Normal"/>
    <w:qFormat/>
    <w:rsid w:val="00E30EEC"/>
    <w:pPr>
      <w:framePr w:w="2268" w:hSpace="181" w:vSpace="181" w:wrap="around" w:vAnchor="text" w:hAnchor="page" w:x="1135" w:y="285" w:anchorLock="1"/>
    </w:pPr>
    <w:rPr>
      <w:i/>
    </w:rPr>
  </w:style>
  <w:style w:type="paragraph" w:customStyle="1" w:styleId="MiniTOCTitle">
    <w:name w:val="MiniTOCTitle"/>
    <w:basedOn w:val="Heading4"/>
    <w:rsid w:val="00E30EEC"/>
    <w:pPr>
      <w:spacing w:before="240"/>
      <w:outlineLvl w:val="9"/>
    </w:pPr>
    <w:rPr>
      <w:noProof/>
      <w:sz w:val="24"/>
    </w:rPr>
  </w:style>
  <w:style w:type="paragraph" w:customStyle="1" w:styleId="MiniTOCItem">
    <w:name w:val="MiniTOCItem"/>
    <w:basedOn w:val="ListBullet"/>
    <w:rsid w:val="00E30EEC"/>
    <w:pPr>
      <w:numPr>
        <w:numId w:val="0"/>
      </w:numPr>
      <w:tabs>
        <w:tab w:val="right" w:leader="dot" w:pos="6521"/>
      </w:tabs>
      <w:spacing w:before="0" w:after="0"/>
    </w:pPr>
  </w:style>
  <w:style w:type="paragraph" w:customStyle="1" w:styleId="TOFTitle">
    <w:name w:val="TOFTitle"/>
    <w:basedOn w:val="TOCTitle"/>
    <w:rsid w:val="00E30EEC"/>
  </w:style>
  <w:style w:type="paragraph" w:styleId="TableofFigures">
    <w:name w:val="table of figures"/>
    <w:basedOn w:val="Normal"/>
    <w:next w:val="Normal"/>
    <w:semiHidden/>
    <w:rsid w:val="00E30EEC"/>
    <w:pPr>
      <w:tabs>
        <w:tab w:val="right" w:leader="dot" w:pos="9072"/>
      </w:tabs>
      <w:ind w:left="970" w:hanging="403"/>
    </w:pPr>
    <w:rPr>
      <w:rFonts w:ascii="Times New Roman" w:hAnsi="Times New Roman"/>
      <w:b/>
    </w:rPr>
  </w:style>
  <w:style w:type="paragraph" w:styleId="ListNumber">
    <w:name w:val="List Number"/>
    <w:basedOn w:val="List"/>
    <w:rsid w:val="00E30EEC"/>
    <w:pPr>
      <w:numPr>
        <w:numId w:val="10"/>
      </w:numPr>
    </w:pPr>
  </w:style>
  <w:style w:type="character" w:customStyle="1" w:styleId="WingdingSymbols">
    <w:name w:val="Wingding Symbols"/>
    <w:rsid w:val="00E30EEC"/>
    <w:rPr>
      <w:rFonts w:ascii="Wingdings" w:hAnsi="Wingdings"/>
    </w:rPr>
  </w:style>
  <w:style w:type="paragraph" w:customStyle="1" w:styleId="TableHeading">
    <w:name w:val="Table Heading"/>
    <w:basedOn w:val="HeadingBase"/>
    <w:rsid w:val="00E30EEC"/>
    <w:pPr>
      <w:keepLines/>
      <w:pBdr>
        <w:bottom w:val="single" w:sz="6" w:space="1" w:color="918585"/>
      </w:pBdr>
      <w:spacing w:before="240"/>
    </w:pPr>
  </w:style>
  <w:style w:type="character" w:customStyle="1" w:styleId="HotSpot">
    <w:name w:val="HotSpot"/>
    <w:rsid w:val="00E30EEC"/>
    <w:rPr>
      <w:color w:val="0033CC"/>
      <w:u w:val="none"/>
    </w:rPr>
  </w:style>
  <w:style w:type="paragraph" w:customStyle="1" w:styleId="BodyTextRight">
    <w:name w:val="Body Text Right"/>
    <w:basedOn w:val="BodyText"/>
    <w:rsid w:val="00E30EEC"/>
    <w:pPr>
      <w:spacing w:before="0" w:after="0"/>
      <w:jc w:val="right"/>
    </w:pPr>
  </w:style>
  <w:style w:type="paragraph" w:styleId="Index3">
    <w:name w:val="index 3"/>
    <w:basedOn w:val="ListNumber2"/>
    <w:next w:val="Normal"/>
    <w:semiHidden/>
    <w:rsid w:val="00E30EEC"/>
    <w:pPr>
      <w:numPr>
        <w:numId w:val="0"/>
      </w:numPr>
      <w:tabs>
        <w:tab w:val="right" w:leader="dot" w:pos="4176"/>
      </w:tabs>
    </w:pPr>
  </w:style>
  <w:style w:type="paragraph" w:styleId="ListNumber2">
    <w:name w:val="List Number 2"/>
    <w:basedOn w:val="List2"/>
    <w:rsid w:val="00E30EEC"/>
    <w:pPr>
      <w:numPr>
        <w:numId w:val="9"/>
      </w:numPr>
      <w:tabs>
        <w:tab w:val="clear" w:pos="1060"/>
      </w:tabs>
    </w:pPr>
  </w:style>
  <w:style w:type="paragraph" w:customStyle="1" w:styleId="MarginNote">
    <w:name w:val="Margin Note"/>
    <w:basedOn w:val="BodyText"/>
    <w:rsid w:val="00E30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EEC"/>
    <w:rPr>
      <w:sz w:val="32"/>
    </w:rPr>
  </w:style>
  <w:style w:type="paragraph" w:customStyle="1" w:styleId="HeadingProcedure">
    <w:name w:val="Heading Procedure"/>
    <w:basedOn w:val="HeadingBase"/>
    <w:next w:val="Normal"/>
    <w:rsid w:val="00E30EEC"/>
    <w:pPr>
      <w:tabs>
        <w:tab w:val="left" w:pos="0"/>
      </w:tabs>
      <w:spacing w:before="120" w:after="60"/>
    </w:pPr>
    <w:rPr>
      <w:i/>
      <w:color w:val="918585"/>
      <w:sz w:val="22"/>
    </w:rPr>
  </w:style>
  <w:style w:type="paragraph" w:customStyle="1" w:styleId="TableBodyText">
    <w:name w:val="Table Body Text"/>
    <w:basedOn w:val="BodyText"/>
    <w:rsid w:val="00E30EEC"/>
    <w:pPr>
      <w:spacing w:before="60" w:after="60"/>
    </w:pPr>
  </w:style>
  <w:style w:type="paragraph" w:styleId="ListContinue">
    <w:name w:val="List Continue"/>
    <w:basedOn w:val="List"/>
    <w:rsid w:val="00E30EEC"/>
    <w:pPr>
      <w:ind w:firstLine="0"/>
    </w:pPr>
  </w:style>
  <w:style w:type="paragraph" w:customStyle="1" w:styleId="ListNote">
    <w:name w:val="List Note"/>
    <w:basedOn w:val="List"/>
    <w:rsid w:val="00E30EEC"/>
    <w:pPr>
      <w:pBdr>
        <w:top w:val="single" w:sz="6" w:space="2" w:color="918585"/>
        <w:bottom w:val="single" w:sz="6" w:space="2" w:color="918585"/>
      </w:pBdr>
      <w:tabs>
        <w:tab w:val="left" w:pos="1021"/>
      </w:tabs>
      <w:ind w:firstLine="0"/>
    </w:pPr>
  </w:style>
  <w:style w:type="paragraph" w:customStyle="1" w:styleId="Warning">
    <w:name w:val="Warning"/>
    <w:basedOn w:val="BodyText"/>
    <w:rsid w:val="00E30EEC"/>
    <w:pPr>
      <w:shd w:val="clear" w:color="auto" w:fill="D9D9D9"/>
      <w:tabs>
        <w:tab w:val="left" w:pos="992"/>
      </w:tabs>
      <w:ind w:left="119" w:right="119"/>
    </w:pPr>
    <w:rPr>
      <w:sz w:val="20"/>
    </w:rPr>
  </w:style>
  <w:style w:type="paragraph" w:customStyle="1" w:styleId="MarginIcons">
    <w:name w:val="Margin Icons"/>
    <w:basedOn w:val="BodyText"/>
    <w:rsid w:val="00E30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EEC"/>
    <w:rPr>
      <w:rFonts w:ascii="Courier New" w:hAnsi="Courier New"/>
    </w:rPr>
  </w:style>
  <w:style w:type="paragraph" w:customStyle="1" w:styleId="NoteBullet">
    <w:name w:val="Note Bullet"/>
    <w:basedOn w:val="Note"/>
    <w:rsid w:val="00E30EEC"/>
    <w:pPr>
      <w:tabs>
        <w:tab w:val="clear" w:pos="680"/>
      </w:tabs>
      <w:spacing w:before="60" w:after="60"/>
    </w:pPr>
  </w:style>
  <w:style w:type="paragraph" w:customStyle="1" w:styleId="SubHeading2">
    <w:name w:val="SubHeading2"/>
    <w:basedOn w:val="HeadingBase"/>
    <w:rsid w:val="00E30EEC"/>
    <w:pPr>
      <w:spacing w:before="240" w:after="60"/>
    </w:pPr>
    <w:rPr>
      <w:sz w:val="20"/>
    </w:rPr>
  </w:style>
  <w:style w:type="paragraph" w:customStyle="1" w:styleId="SubHeading1">
    <w:name w:val="SubHeading1"/>
    <w:basedOn w:val="HeadingBase"/>
    <w:rsid w:val="00E30EEC"/>
    <w:pPr>
      <w:spacing w:before="240" w:after="60"/>
    </w:pPr>
    <w:rPr>
      <w:color w:val="918585"/>
      <w:sz w:val="22"/>
    </w:rPr>
  </w:style>
  <w:style w:type="paragraph" w:customStyle="1" w:styleId="SideHeading">
    <w:name w:val="Side Heading"/>
    <w:basedOn w:val="HeadingBase"/>
    <w:rsid w:val="00E30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EEC"/>
    <w:pPr>
      <w:tabs>
        <w:tab w:val="num" w:pos="360"/>
      </w:tabs>
    </w:pPr>
  </w:style>
  <w:style w:type="paragraph" w:styleId="PlainText">
    <w:name w:val="Plain Text"/>
    <w:basedOn w:val="Normal"/>
    <w:link w:val="PlainTextChar"/>
    <w:rsid w:val="00E30EEC"/>
    <w:rPr>
      <w:sz w:val="20"/>
    </w:rPr>
  </w:style>
  <w:style w:type="character" w:customStyle="1" w:styleId="PlainTextChar">
    <w:name w:val="Plain Text Char"/>
    <w:basedOn w:val="DefaultParagraphFont"/>
    <w:link w:val="PlainText"/>
    <w:rsid w:val="00E30EEC"/>
    <w:rPr>
      <w:rFonts w:ascii="Courier New" w:eastAsia="Times New Roman" w:hAnsi="Courier New" w:cs="Times New Roman"/>
      <w:sz w:val="20"/>
      <w:szCs w:val="20"/>
      <w:lang w:eastAsia="en-US"/>
    </w:rPr>
  </w:style>
  <w:style w:type="character" w:customStyle="1" w:styleId="MenuOption">
    <w:name w:val="Menu Option"/>
    <w:basedOn w:val="DefaultParagraphFont"/>
    <w:rsid w:val="00E30EEC"/>
    <w:rPr>
      <w:b/>
      <w:smallCaps/>
    </w:rPr>
  </w:style>
  <w:style w:type="paragraph" w:customStyle="1" w:styleId="TableListNumber">
    <w:name w:val="Table List Number"/>
    <w:basedOn w:val="ListNumber"/>
    <w:rsid w:val="00E30EEC"/>
    <w:pPr>
      <w:numPr>
        <w:numId w:val="0"/>
      </w:numPr>
    </w:pPr>
  </w:style>
  <w:style w:type="paragraph" w:styleId="TOC4">
    <w:name w:val="toc 4"/>
    <w:basedOn w:val="TOCBase"/>
    <w:next w:val="Normal"/>
    <w:semiHidden/>
    <w:rsid w:val="00E30EEC"/>
    <w:pPr>
      <w:tabs>
        <w:tab w:val="right" w:leader="dot" w:pos="9071"/>
      </w:tabs>
      <w:ind w:left="1701"/>
    </w:pPr>
  </w:style>
  <w:style w:type="paragraph" w:customStyle="1" w:styleId="ListAlpha">
    <w:name w:val="List Alpha"/>
    <w:basedOn w:val="List"/>
    <w:rsid w:val="00E30EEC"/>
    <w:pPr>
      <w:numPr>
        <w:numId w:val="8"/>
      </w:numPr>
    </w:pPr>
  </w:style>
  <w:style w:type="paragraph" w:customStyle="1" w:styleId="ListAlpha2">
    <w:name w:val="List Alpha 2"/>
    <w:basedOn w:val="List2"/>
    <w:rsid w:val="00E30EEC"/>
    <w:pPr>
      <w:numPr>
        <w:numId w:val="7"/>
      </w:numPr>
    </w:pPr>
  </w:style>
  <w:style w:type="paragraph" w:styleId="List2">
    <w:name w:val="List 2"/>
    <w:basedOn w:val="BodyText"/>
    <w:rsid w:val="00E30EEC"/>
    <w:pPr>
      <w:tabs>
        <w:tab w:val="left" w:pos="680"/>
      </w:tabs>
      <w:spacing w:before="60" w:after="60"/>
      <w:ind w:left="680" w:hanging="340"/>
    </w:pPr>
  </w:style>
  <w:style w:type="paragraph" w:styleId="List3">
    <w:name w:val="List 3"/>
    <w:basedOn w:val="BodyText"/>
    <w:rsid w:val="00E30EEC"/>
    <w:pPr>
      <w:tabs>
        <w:tab w:val="left" w:pos="1021"/>
      </w:tabs>
      <w:spacing w:before="60" w:after="60"/>
      <w:ind w:left="1020" w:hanging="340"/>
    </w:pPr>
  </w:style>
  <w:style w:type="paragraph" w:styleId="List4">
    <w:name w:val="List 4"/>
    <w:basedOn w:val="BodyText"/>
    <w:rsid w:val="00E30EEC"/>
    <w:pPr>
      <w:tabs>
        <w:tab w:val="left" w:pos="1361"/>
      </w:tabs>
      <w:spacing w:before="60" w:after="60"/>
      <w:ind w:left="1361" w:hanging="340"/>
    </w:pPr>
  </w:style>
  <w:style w:type="paragraph" w:styleId="List5">
    <w:name w:val="List 5"/>
    <w:basedOn w:val="BodyText"/>
    <w:rsid w:val="00E30EEC"/>
    <w:pPr>
      <w:tabs>
        <w:tab w:val="left" w:pos="1701"/>
      </w:tabs>
      <w:spacing w:before="60" w:after="60"/>
      <w:ind w:left="1701" w:hanging="340"/>
    </w:pPr>
  </w:style>
  <w:style w:type="paragraph" w:styleId="ListBullet3">
    <w:name w:val="List Bullet 3"/>
    <w:basedOn w:val="List3"/>
    <w:rsid w:val="00E30EEC"/>
    <w:pPr>
      <w:numPr>
        <w:numId w:val="14"/>
      </w:numPr>
      <w:tabs>
        <w:tab w:val="clear" w:pos="1021"/>
      </w:tabs>
      <w:ind w:left="1037" w:hanging="357"/>
    </w:pPr>
  </w:style>
  <w:style w:type="paragraph" w:styleId="ListBullet4">
    <w:name w:val="List Bullet 4"/>
    <w:basedOn w:val="List4"/>
    <w:rsid w:val="00E30EEC"/>
    <w:pPr>
      <w:numPr>
        <w:numId w:val="2"/>
      </w:numPr>
      <w:tabs>
        <w:tab w:val="clear" w:pos="1361"/>
      </w:tabs>
    </w:pPr>
  </w:style>
  <w:style w:type="paragraph" w:styleId="ListBullet5">
    <w:name w:val="List Bullet 5"/>
    <w:basedOn w:val="List5"/>
    <w:rsid w:val="00E30EEC"/>
    <w:pPr>
      <w:numPr>
        <w:numId w:val="3"/>
      </w:numPr>
    </w:pPr>
  </w:style>
  <w:style w:type="paragraph" w:styleId="ListContinue2">
    <w:name w:val="List Continue 2"/>
    <w:basedOn w:val="List2"/>
    <w:rsid w:val="00E30EEC"/>
    <w:pPr>
      <w:ind w:firstLine="0"/>
    </w:pPr>
  </w:style>
  <w:style w:type="paragraph" w:styleId="ListContinue3">
    <w:name w:val="List Continue 3"/>
    <w:basedOn w:val="List3"/>
    <w:rsid w:val="00E30EEC"/>
    <w:pPr>
      <w:ind w:left="1021" w:firstLine="0"/>
    </w:pPr>
  </w:style>
  <w:style w:type="paragraph" w:styleId="ListContinue4">
    <w:name w:val="List Continue 4"/>
    <w:basedOn w:val="List4"/>
    <w:rsid w:val="00E30EEC"/>
    <w:pPr>
      <w:ind w:firstLine="0"/>
    </w:pPr>
  </w:style>
  <w:style w:type="paragraph" w:styleId="ListContinue5">
    <w:name w:val="List Continue 5"/>
    <w:basedOn w:val="List5"/>
    <w:rsid w:val="00E30EEC"/>
    <w:pPr>
      <w:ind w:firstLine="0"/>
    </w:pPr>
  </w:style>
  <w:style w:type="paragraph" w:styleId="ListNumber3">
    <w:name w:val="List Number 3"/>
    <w:basedOn w:val="List3"/>
    <w:rsid w:val="00E30EEC"/>
    <w:pPr>
      <w:numPr>
        <w:numId w:val="4"/>
      </w:numPr>
    </w:pPr>
  </w:style>
  <w:style w:type="paragraph" w:styleId="ListNumber4">
    <w:name w:val="List Number 4"/>
    <w:basedOn w:val="List4"/>
    <w:rsid w:val="00E30EEC"/>
    <w:pPr>
      <w:numPr>
        <w:numId w:val="5"/>
      </w:numPr>
    </w:pPr>
  </w:style>
  <w:style w:type="paragraph" w:styleId="ListNumber5">
    <w:name w:val="List Number 5"/>
    <w:basedOn w:val="List5"/>
    <w:rsid w:val="00E30EEC"/>
    <w:pPr>
      <w:numPr>
        <w:numId w:val="6"/>
      </w:numPr>
    </w:pPr>
  </w:style>
  <w:style w:type="paragraph" w:styleId="BlockText">
    <w:name w:val="Block Text"/>
    <w:basedOn w:val="Normal"/>
    <w:rsid w:val="00E30EEC"/>
    <w:pPr>
      <w:spacing w:after="120"/>
      <w:ind w:left="1440" w:right="1440"/>
    </w:pPr>
  </w:style>
  <w:style w:type="character" w:customStyle="1" w:styleId="Subscript">
    <w:name w:val="Subscript"/>
    <w:basedOn w:val="DefaultParagraphFont"/>
    <w:rsid w:val="00E30EEC"/>
    <w:rPr>
      <w:sz w:val="16"/>
      <w:vertAlign w:val="subscript"/>
    </w:rPr>
  </w:style>
  <w:style w:type="character" w:customStyle="1" w:styleId="Superscript">
    <w:name w:val="Superscript"/>
    <w:basedOn w:val="DefaultParagraphFont"/>
    <w:rsid w:val="00E30EEC"/>
    <w:rPr>
      <w:sz w:val="16"/>
      <w:vertAlign w:val="superscript"/>
    </w:rPr>
  </w:style>
  <w:style w:type="character" w:customStyle="1" w:styleId="MenuOptions">
    <w:name w:val="Menu Options"/>
    <w:basedOn w:val="DefaultParagraphFont"/>
    <w:rsid w:val="00E30EEC"/>
    <w:rPr>
      <w:rFonts w:ascii="Arial Narrow" w:hAnsi="Arial Narrow"/>
      <w:smallCaps/>
    </w:rPr>
  </w:style>
  <w:style w:type="character" w:customStyle="1" w:styleId="Buttons">
    <w:name w:val="Buttons"/>
    <w:basedOn w:val="DefaultParagraphFont"/>
    <w:rsid w:val="00E30EEC"/>
    <w:rPr>
      <w:b/>
    </w:rPr>
  </w:style>
  <w:style w:type="character" w:customStyle="1" w:styleId="Underlined">
    <w:name w:val="Underlined"/>
    <w:basedOn w:val="DefaultParagraphFont"/>
    <w:rsid w:val="00E30EEC"/>
    <w:rPr>
      <w:u w:val="single"/>
    </w:rPr>
  </w:style>
  <w:style w:type="paragraph" w:customStyle="1" w:styleId="TableBodyTextRight">
    <w:name w:val="Table Body Text Right"/>
    <w:basedOn w:val="TableBodyText"/>
    <w:rsid w:val="00E30EEC"/>
    <w:pPr>
      <w:widowControl w:val="0"/>
      <w:autoSpaceDE w:val="0"/>
      <w:autoSpaceDN w:val="0"/>
      <w:adjustRightInd w:val="0"/>
      <w:jc w:val="right"/>
    </w:pPr>
    <w:rPr>
      <w:rFonts w:cs="Arial"/>
      <w:szCs w:val="18"/>
    </w:rPr>
  </w:style>
  <w:style w:type="paragraph" w:customStyle="1" w:styleId="CopyrightText">
    <w:name w:val="Copyright Text"/>
    <w:basedOn w:val="BodyText"/>
    <w:rsid w:val="00E30EEC"/>
    <w:rPr>
      <w:sz w:val="18"/>
    </w:rPr>
  </w:style>
  <w:style w:type="paragraph" w:customStyle="1" w:styleId="BodySmallRight">
    <w:name w:val="Body Small Right"/>
    <w:basedOn w:val="BodyTextRight"/>
    <w:rsid w:val="00E30EEC"/>
    <w:rPr>
      <w:sz w:val="18"/>
      <w:szCs w:val="18"/>
    </w:rPr>
  </w:style>
  <w:style w:type="paragraph" w:customStyle="1" w:styleId="MarginEdition">
    <w:name w:val="Margin Edition"/>
    <w:basedOn w:val="MarginNote"/>
    <w:rsid w:val="00E30EEC"/>
    <w:pPr>
      <w:spacing w:before="0" w:after="0"/>
    </w:pPr>
    <w:rPr>
      <w:rFonts w:ascii="Times New Roman" w:hAnsi="Times New Roman"/>
      <w:color w:val="999999"/>
    </w:rPr>
  </w:style>
  <w:style w:type="paragraph" w:customStyle="1" w:styleId="Spacer">
    <w:name w:val="Spacer"/>
    <w:basedOn w:val="Normal"/>
    <w:rsid w:val="00E30EEC"/>
    <w:rPr>
      <w:sz w:val="2"/>
      <w:szCs w:val="2"/>
    </w:rPr>
  </w:style>
  <w:style w:type="character" w:customStyle="1" w:styleId="Small">
    <w:name w:val="Small"/>
    <w:basedOn w:val="DefaultParagraphFont"/>
    <w:rsid w:val="00E30EEC"/>
    <w:rPr>
      <w:sz w:val="16"/>
    </w:rPr>
  </w:style>
  <w:style w:type="paragraph" w:customStyle="1" w:styleId="WideTable">
    <w:name w:val="Wide Table"/>
    <w:basedOn w:val="Normal"/>
    <w:rsid w:val="00E30EEC"/>
    <w:pPr>
      <w:ind w:left="-1418"/>
    </w:pPr>
    <w:rPr>
      <w:sz w:val="2"/>
      <w:szCs w:val="2"/>
    </w:rPr>
  </w:style>
  <w:style w:type="character" w:styleId="PageNumber">
    <w:name w:val="page number"/>
    <w:basedOn w:val="DefaultParagraphFont"/>
    <w:rsid w:val="00E30EEC"/>
  </w:style>
  <w:style w:type="paragraph" w:styleId="Quote">
    <w:name w:val="Quote"/>
    <w:basedOn w:val="Heading1"/>
    <w:link w:val="QuoteChar"/>
    <w:qFormat/>
    <w:rsid w:val="00E30EEC"/>
    <w:rPr>
      <w:b w:val="0"/>
      <w:sz w:val="72"/>
      <w:szCs w:val="72"/>
      <w:lang w:val="en-NZ"/>
    </w:rPr>
  </w:style>
  <w:style w:type="character" w:customStyle="1" w:styleId="QuoteChar">
    <w:name w:val="Quote Char"/>
    <w:basedOn w:val="DefaultParagraphFont"/>
    <w:link w:val="Quote"/>
    <w:rsid w:val="00E30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EEC"/>
    <w:pPr>
      <w:pageBreakBefore/>
    </w:pPr>
  </w:style>
  <w:style w:type="paragraph" w:customStyle="1" w:styleId="Border">
    <w:name w:val="Border"/>
    <w:basedOn w:val="Normal"/>
    <w:qFormat/>
    <w:rsid w:val="00E30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EEC"/>
    <w:rPr>
      <w:b/>
      <w:bCs/>
      <w:i/>
      <w:iCs/>
      <w:color w:val="auto"/>
    </w:rPr>
  </w:style>
  <w:style w:type="paragraph" w:styleId="IntenseQuote">
    <w:name w:val="Intense Quote"/>
    <w:basedOn w:val="Normal"/>
    <w:next w:val="Normal"/>
    <w:link w:val="IntenseQuoteChar"/>
    <w:uiPriority w:val="30"/>
    <w:qFormat/>
    <w:rsid w:val="00E30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EEC"/>
    <w:rPr>
      <w:smallCaps/>
      <w:color w:val="auto"/>
      <w:u w:val="single"/>
    </w:rPr>
  </w:style>
  <w:style w:type="character" w:styleId="IntenseReference">
    <w:name w:val="Intense Reference"/>
    <w:basedOn w:val="DefaultParagraphFont"/>
    <w:uiPriority w:val="32"/>
    <w:qFormat/>
    <w:rsid w:val="00E30EEC"/>
    <w:rPr>
      <w:b/>
      <w:bCs/>
      <w:smallCaps/>
      <w:color w:val="auto"/>
      <w:spacing w:val="5"/>
      <w:u w:val="single"/>
    </w:rPr>
  </w:style>
  <w:style w:type="paragraph" w:customStyle="1" w:styleId="2ColumnHeading">
    <w:name w:val="2Column Heading"/>
    <w:basedOn w:val="BodyText"/>
    <w:qFormat/>
    <w:rsid w:val="00E30EEC"/>
    <w:pPr>
      <w:spacing w:after="60"/>
      <w:ind w:left="-2268"/>
    </w:pPr>
    <w:rPr>
      <w:b/>
    </w:rPr>
  </w:style>
  <w:style w:type="paragraph" w:customStyle="1" w:styleId="Heading1TOC">
    <w:name w:val="Heading1 TOC"/>
    <w:basedOn w:val="Normal"/>
    <w:qFormat/>
    <w:rsid w:val="00E30EEC"/>
    <w:pPr>
      <w:spacing w:before="240" w:after="120"/>
    </w:pPr>
    <w:rPr>
      <w:rFonts w:ascii="Times New Roman" w:hAnsi="Times New Roman"/>
      <w:b/>
      <w:sz w:val="32"/>
    </w:rPr>
  </w:style>
  <w:style w:type="paragraph" w:customStyle="1" w:styleId="Heading2TOC">
    <w:name w:val="Heading2 TOC"/>
    <w:basedOn w:val="Normal"/>
    <w:qFormat/>
    <w:rsid w:val="00E30EEC"/>
    <w:pPr>
      <w:spacing w:before="240" w:after="60"/>
    </w:pPr>
    <w:rPr>
      <w:rFonts w:ascii="Times New Roman" w:hAnsi="Times New Roman"/>
      <w:b/>
      <w:sz w:val="28"/>
    </w:rPr>
  </w:style>
  <w:style w:type="character" w:customStyle="1" w:styleId="Underline">
    <w:name w:val="Underline"/>
    <w:basedOn w:val="DefaultParagraphFont"/>
    <w:qFormat/>
    <w:rsid w:val="00E30EEC"/>
    <w:rPr>
      <w:u w:val="single"/>
    </w:rPr>
  </w:style>
  <w:style w:type="character" w:customStyle="1" w:styleId="BoldandItalics">
    <w:name w:val="Bold and Italics"/>
    <w:qFormat/>
    <w:rsid w:val="00E30EEC"/>
    <w:rPr>
      <w:b/>
      <w:i/>
      <w:u w:val="none"/>
    </w:rPr>
  </w:style>
  <w:style w:type="paragraph" w:styleId="BalloonText">
    <w:name w:val="Balloon Text"/>
    <w:basedOn w:val="Normal"/>
    <w:link w:val="BalloonTextChar"/>
    <w:rsid w:val="00E30EEC"/>
    <w:rPr>
      <w:rFonts w:ascii="Tahoma" w:hAnsi="Tahoma" w:cs="Tahoma"/>
      <w:sz w:val="16"/>
      <w:szCs w:val="16"/>
    </w:rPr>
  </w:style>
  <w:style w:type="character" w:customStyle="1" w:styleId="BalloonTextChar">
    <w:name w:val="Balloon Text Char"/>
    <w:basedOn w:val="DefaultParagraphFont"/>
    <w:link w:val="BalloonText"/>
    <w:rsid w:val="00E30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E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0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EEC"/>
    <w:rPr>
      <w:b/>
      <w:color w:val="660033"/>
      <w:spacing w:val="0"/>
    </w:rPr>
  </w:style>
  <w:style w:type="paragraph" w:customStyle="1" w:styleId="Nameditemlist">
    <w:name w:val="Named item list"/>
    <w:basedOn w:val="BodyText"/>
    <w:qFormat/>
    <w:rsid w:val="00E30E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5458</Characters>
  <Application>Microsoft Office Word</Application>
  <DocSecurity>0</DocSecurity>
  <Lines>209</Lines>
  <Paragraphs>100</Paragraphs>
  <ScaleCrop>false</ScaleCrop>
  <Company>Author-it Software Corporation Ltd.</Company>
  <LinksUpToDate>false</LinksUpToDate>
  <CharactersWithSpaces>6233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MSL933002 Contribute to the achievement of quality objectives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2016-03-01T06:25:00Z</dcterms:created>
  <dcterms:modified xsi:type="dcterms:W3CDTF">2016-03-01T06:25:00Z</dcterms:modified>
</cp:coreProperties>
</file>