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4471" w:rsidP="006444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MSL925004 Analyse data and report results</w:t>
      </w:r>
      <w:r>
        <w:fldChar w:fldCharType="end"/>
      </w:r>
    </w:p>
    <w:p w:rsidR="00644471" w:rsidP="00644471">
      <w:pPr>
        <w:pStyle w:val="Version"/>
        <w:sectPr w:rsidSect="005E20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2067" w:rsidP="005E2067">
      <w:pPr>
        <w:pStyle w:val="SuperHeading"/>
      </w:pPr>
      <w:r w:rsidRPr="005E2067">
        <w:t>Assessment Requirements for MSL925004 Analyse data and report results</w:t>
      </w:r>
    </w:p>
    <w:p w:rsidR="00000000" w:rsidRPr="005E2067" w:rsidP="005E2067">
      <w:pPr>
        <w:pStyle w:val="Heading1"/>
      </w:pPr>
      <w:bookmarkStart w:id="1" w:name="O_985902"/>
      <w:bookmarkEnd w:id="1"/>
      <w:r w:rsidRPr="005E206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88"/>
        <w:gridCol w:w="7346"/>
      </w:tblGrid>
      <w:tr w:rsidTr="005E20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E2067" w:rsidP="005E2067">
            <w:pPr>
              <w:pStyle w:val="BodyText"/>
            </w:pPr>
            <w:r w:rsidRPr="005E2067">
              <w:rPr>
                <w:rStyle w:val="SpecialBold"/>
              </w:rPr>
              <w:t>Release</w:t>
            </w:r>
          </w:p>
        </w:tc>
        <w:tc>
          <w:tcPr>
            <w:tcW w:w="7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E2067">
            <w:pPr>
              <w:pStyle w:val="BodyText"/>
              <w:rPr>
                <w:lang w:val="en-NZ"/>
              </w:rPr>
            </w:pPr>
            <w:r w:rsidRPr="005E2067">
              <w:rPr>
                <w:rStyle w:val="SpecialBold"/>
              </w:rPr>
              <w:t>Comments</w:t>
            </w:r>
          </w:p>
        </w:tc>
      </w:tr>
      <w:tr w:rsidTr="005E20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3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067">
            <w:pPr>
              <w:pStyle w:val="BodyText"/>
              <w:rPr>
                <w:lang w:val="en-NZ"/>
              </w:rPr>
            </w:pPr>
            <w:r w:rsidRPr="005E2067">
              <w:t>Release 1</w:t>
            </w:r>
          </w:p>
        </w:tc>
        <w:tc>
          <w:tcPr>
            <w:tcW w:w="7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067" w:rsidP="005E2067">
            <w:pPr>
              <w:pStyle w:val="BodyText"/>
            </w:pPr>
            <w:r w:rsidRPr="005E2067">
              <w:t xml:space="preserve">This version was released </w:t>
            </w:r>
            <w:r w:rsidRPr="005E2067">
              <w:rPr>
                <w:rStyle w:val="Emphasis"/>
              </w:rPr>
              <w:t>in MSL Laboratory Operations Training Package Release 2.0.</w:t>
            </w:r>
          </w:p>
          <w:p w:rsidR="00000000" w:rsidRPr="005E2067" w:rsidP="005E2067">
            <w:pPr>
              <w:pStyle w:val="BodyText"/>
            </w:pPr>
            <w:r w:rsidRPr="005E2067">
              <w:t>Supersedes and equivalent to MSL925001 Analyse data and report results. Foundation skills information added. Range of conditions removed. Assessment requirements amended.</w:t>
            </w:r>
          </w:p>
        </w:tc>
      </w:tr>
    </w:tbl>
    <w:p w:rsidR="00000000" w:rsidRPr="005E2067" w:rsidP="005E2067">
      <w:pPr>
        <w:pStyle w:val="BodyText"/>
      </w:pPr>
    </w:p>
    <w:p w:rsidR="00000000" w:rsidRPr="005E2067" w:rsidP="005E2067">
      <w:pPr>
        <w:pStyle w:val="AllowPageBreak"/>
      </w:pPr>
    </w:p>
    <w:p w:rsidR="00000000" w:rsidRPr="005E2067" w:rsidP="005E2067">
      <w:pPr>
        <w:pStyle w:val="Heading1"/>
      </w:pPr>
      <w:bookmarkStart w:id="2" w:name="O_985905"/>
      <w:bookmarkEnd w:id="2"/>
      <w:r w:rsidRPr="005E2067">
        <w:t>Performance Evidence</w:t>
      </w:r>
    </w:p>
    <w:p w:rsidR="00000000" w:rsidRPr="005E2067" w:rsidP="00644471">
      <w:pPr>
        <w:pStyle w:val="BodyText"/>
      </w:pPr>
      <w:r w:rsidRPr="005E2067">
        <w:t>There must be evidence the candidate has comp</w:t>
      </w:r>
      <w:r w:rsidRPr="005E2067">
        <w:t>leted the tasks outlined in the elements and performance criteria of this unit, and:</w:t>
      </w:r>
    </w:p>
    <w:p w:rsidR="00000000" w:rsidRPr="005E2067" w:rsidP="005E2067">
      <w:pPr>
        <w:pStyle w:val="ListBullet"/>
      </w:pPr>
      <w:r w:rsidRPr="005E2067">
        <w:t>calculated scientific quantities of laboratory data, including at least five 4 of the following:</w:t>
      </w:r>
    </w:p>
    <w:p w:rsidR="00000000" w:rsidRPr="005E2067" w:rsidP="005E2067">
      <w:pPr>
        <w:pStyle w:val="ListBullet2"/>
      </w:pPr>
      <w:r w:rsidRPr="005E2067">
        <w:t>percentage and absolute uncertainties in measurements and test results</w:t>
      </w:r>
    </w:p>
    <w:p w:rsidR="00000000" w:rsidRPr="005E2067" w:rsidP="005E2067">
      <w:pPr>
        <w:pStyle w:val="ListBullet2"/>
      </w:pPr>
      <w:r w:rsidRPr="005E2067">
        <w:t>pH, [H+], [OH-], buffer calculations</w:t>
      </w:r>
    </w:p>
    <w:p w:rsidR="00000000" w:rsidRPr="005E2067" w:rsidP="005E2067">
      <w:pPr>
        <w:pStyle w:val="ListBullet2"/>
      </w:pPr>
      <w:r w:rsidRPr="005E2067">
        <w:t>Ka, pKa, Kb, pKb and Kw</w:t>
      </w:r>
    </w:p>
    <w:p w:rsidR="00000000" w:rsidRPr="005E2067" w:rsidP="005E2067">
      <w:pPr>
        <w:pStyle w:val="ListBullet2"/>
      </w:pPr>
      <w:r w:rsidRPr="005E2067">
        <w:t>solubility constants Ks and pKs</w:t>
      </w:r>
    </w:p>
    <w:p w:rsidR="00000000" w:rsidRPr="005E2067" w:rsidP="005E2067">
      <w:pPr>
        <w:pStyle w:val="ListBullet2"/>
      </w:pPr>
      <w:r w:rsidRPr="005E2067">
        <w:t>radioactivity (half life, dose, activity and exposure)</w:t>
      </w:r>
    </w:p>
    <w:p w:rsidR="00000000" w:rsidRPr="005E2067" w:rsidP="005E2067">
      <w:pPr>
        <w:pStyle w:val="ListBullet2"/>
      </w:pPr>
      <w:r w:rsidRPr="005E2067">
        <w:t>optical properties (absorbance/transmittance, path length, extinction coefficient, concentration (Beers law)</w:t>
      </w:r>
      <w:r w:rsidRPr="005E2067">
        <w:t xml:space="preserve"> and detection limits)</w:t>
      </w:r>
    </w:p>
    <w:p w:rsidR="00000000" w:rsidRPr="005E2067" w:rsidP="005E2067">
      <w:pPr>
        <w:pStyle w:val="ListBullet2"/>
      </w:pPr>
      <w:r w:rsidRPr="005E2067">
        <w:t>electrical properties (conductivity, resistivity and dielectric constants)</w:t>
      </w:r>
    </w:p>
    <w:p w:rsidR="00000000" w:rsidRPr="005E2067" w:rsidP="005E2067">
      <w:pPr>
        <w:pStyle w:val="ListBullet2"/>
      </w:pPr>
      <w:r w:rsidRPr="005E2067">
        <w:t>mechanical properties (stress, strain, elastic moduli, yield strength and hardness)</w:t>
      </w:r>
    </w:p>
    <w:p w:rsidR="00000000" w:rsidRPr="005E2067" w:rsidP="005E2067">
      <w:pPr>
        <w:pStyle w:val="ListBullet2"/>
      </w:pPr>
      <w:r w:rsidRPr="005E2067">
        <w:t>thermal properties (heat capacity, thermal expansion, thermal conductivity</w:t>
      </w:r>
      <w:r w:rsidRPr="005E2067">
        <w:t xml:space="preserve"> and thermal resistance)</w:t>
      </w:r>
    </w:p>
    <w:p w:rsidR="00000000" w:rsidRPr="005E2067" w:rsidP="005E2067">
      <w:pPr>
        <w:pStyle w:val="ListBullet2"/>
      </w:pPr>
      <w:r w:rsidRPr="005E2067">
        <w:t>food content (%) of water, ash, dietary and crude fibre, carbohydrate, protein, fat and specific vitamin</w:t>
      </w:r>
    </w:p>
    <w:p w:rsidR="00000000" w:rsidRPr="005E2067" w:rsidP="005E2067">
      <w:pPr>
        <w:pStyle w:val="ListBullet2"/>
      </w:pPr>
      <w:r w:rsidRPr="005E2067">
        <w:t>quantities associated with quality control monitoring, assessment and reporting</w:t>
      </w:r>
    </w:p>
    <w:p w:rsidR="00000000" w:rsidRPr="005E2067" w:rsidP="005E2067">
      <w:pPr>
        <w:pStyle w:val="ListBullet"/>
      </w:pPr>
      <w:r w:rsidRPr="005E2067">
        <w:t>used and interpreted statistical analysis and</w:t>
      </w:r>
      <w:r w:rsidRPr="005E2067">
        <w:t xml:space="preserve"> significance tests of laboratory data including at least 4 of the following:</w:t>
      </w:r>
    </w:p>
    <w:p w:rsidR="00000000" w:rsidRPr="005E2067" w:rsidP="005E2067">
      <w:pPr>
        <w:pStyle w:val="ListBullet2"/>
      </w:pPr>
      <w:r w:rsidRPr="005E2067">
        <w:t>mean, median, mode, range, variance and standard deviation</w:t>
      </w:r>
    </w:p>
    <w:p w:rsidR="00000000" w:rsidRPr="005E2067" w:rsidP="005E2067">
      <w:pPr>
        <w:pStyle w:val="ListBullet2"/>
      </w:pPr>
      <w:r w:rsidRPr="005E2067">
        <w:t>measures of central tendency and dispersion</w:t>
      </w:r>
    </w:p>
    <w:p w:rsidR="00000000" w:rsidRPr="005E2067" w:rsidP="005E2067">
      <w:pPr>
        <w:pStyle w:val="ListBullet2"/>
      </w:pPr>
      <w:r w:rsidRPr="005E2067">
        <w:t>histograms, frequency plots, stem and leaf plots, boxplo</w:t>
      </w:r>
      <w:r w:rsidRPr="005E2067">
        <w:t>ts and scatter plots</w:t>
      </w:r>
    </w:p>
    <w:p w:rsidR="00000000" w:rsidRPr="005E2067" w:rsidP="005E2067">
      <w:pPr>
        <w:pStyle w:val="ListBullet2"/>
      </w:pPr>
      <w:r w:rsidRPr="005E2067">
        <w:t>probability and normal probability plots</w:t>
      </w:r>
    </w:p>
    <w:p w:rsidR="00000000" w:rsidRPr="005E2067" w:rsidP="005E2067">
      <w:pPr>
        <w:pStyle w:val="ListBullet2"/>
      </w:pPr>
      <w:r w:rsidRPr="005E2067">
        <w:t>Pareto diagrams, Shewhart control charts and CuSum control charts</w:t>
      </w:r>
    </w:p>
    <w:p w:rsidR="00000000" w:rsidRPr="005E2067" w:rsidP="005E2067">
      <w:pPr>
        <w:pStyle w:val="ListBullet2"/>
      </w:pPr>
      <w:r w:rsidRPr="005E2067">
        <w:t>regression methods for calibration, linearity checks and comparing analytical methods</w:t>
      </w:r>
    </w:p>
    <w:p w:rsidR="00000000" w:rsidRPr="005E2067" w:rsidP="005E2067">
      <w:pPr>
        <w:pStyle w:val="ListBullet2"/>
      </w:pPr>
      <w:r w:rsidRPr="005E2067">
        <w:t>data acceptability tests, such as Q, T and</w:t>
      </w:r>
      <w:r w:rsidRPr="005E2067">
        <w:t xml:space="preserve"> Youden</w:t>
      </w:r>
    </w:p>
    <w:p w:rsidR="00000000" w:rsidRPr="005E2067" w:rsidP="005E2067">
      <w:pPr>
        <w:pStyle w:val="ListBullet2"/>
      </w:pPr>
      <w:r w:rsidRPr="005E2067">
        <w:t>t-test, f-test, analysis of variance (ANOVA)</w:t>
      </w:r>
    </w:p>
    <w:p w:rsidR="00000000" w:rsidRPr="005E2067" w:rsidP="005E2067">
      <w:pPr>
        <w:pStyle w:val="ListBullet"/>
      </w:pPr>
      <w:r w:rsidRPr="005E2067">
        <w:t>used and interpreted graphical analysis of laboratory data including at least 3 of the following:</w:t>
      </w:r>
    </w:p>
    <w:p w:rsidR="00000000" w:rsidRPr="005E2067" w:rsidP="005E2067">
      <w:pPr>
        <w:pStyle w:val="ListBullet2"/>
      </w:pPr>
      <w:r w:rsidRPr="005E2067">
        <w:t>preparation and interpretation of linear, semi-log and log-log graphs</w:t>
      </w:r>
    </w:p>
    <w:p w:rsidR="00000000" w:rsidRPr="005E2067" w:rsidP="005E2067">
      <w:pPr>
        <w:pStyle w:val="ListBullet2"/>
      </w:pPr>
      <w:r w:rsidRPr="005E2067">
        <w:t>determination of linear, logarith</w:t>
      </w:r>
      <w:r w:rsidRPr="005E2067">
        <w:t>mic, exponential and power relationships</w:t>
      </w:r>
    </w:p>
    <w:p w:rsidR="00000000" w:rsidRPr="005E2067" w:rsidP="005E2067">
      <w:pPr>
        <w:pStyle w:val="ListBullet2"/>
      </w:pPr>
      <w:r w:rsidRPr="005E2067">
        <w:t>regression lines and interpretation of correlation coefficients</w:t>
      </w:r>
    </w:p>
    <w:p w:rsidR="00000000" w:rsidRPr="005E2067" w:rsidP="005E2067">
      <w:pPr>
        <w:pStyle w:val="ListBullet2"/>
      </w:pPr>
      <w:r w:rsidRPr="005E2067">
        <w:t>preparation of frequency distributions for given data</w:t>
      </w:r>
    </w:p>
    <w:p w:rsidR="00000000" w:rsidRPr="005E2067" w:rsidP="005E2067">
      <w:pPr>
        <w:pStyle w:val="ListBullet2"/>
      </w:pPr>
      <w:r w:rsidRPr="005E2067">
        <w:t>preparation of complex control charts.</w:t>
      </w:r>
    </w:p>
    <w:p w:rsidR="00000000" w:rsidRPr="005E2067" w:rsidP="005E2067">
      <w:pPr>
        <w:pStyle w:val="AllowPageBreak"/>
      </w:pPr>
    </w:p>
    <w:p w:rsidR="00000000" w:rsidRPr="005E2067" w:rsidP="005E2067">
      <w:pPr>
        <w:pStyle w:val="Heading1"/>
      </w:pPr>
      <w:bookmarkStart w:id="3" w:name="O_985904"/>
      <w:bookmarkEnd w:id="3"/>
      <w:r w:rsidRPr="005E2067">
        <w:t>Knowledge Evidence</w:t>
      </w:r>
    </w:p>
    <w:p w:rsidR="00000000" w:rsidRPr="005E2067" w:rsidP="00644471">
      <w:pPr>
        <w:pStyle w:val="BodyText"/>
      </w:pPr>
      <w:r w:rsidRPr="005E2067">
        <w:t>There must be evidence the candidate has knowledge of:</w:t>
      </w:r>
    </w:p>
    <w:p w:rsidR="00000000" w:rsidRPr="005E2067" w:rsidP="005E2067">
      <w:pPr>
        <w:pStyle w:val="ListBullet"/>
      </w:pPr>
      <w:r w:rsidRPr="005E2067">
        <w:t>scientific and technical terminology: variables, dispersion, central tendency, process control, process stability, normal distribution, confidence level and replication</w:t>
      </w:r>
    </w:p>
    <w:p w:rsidR="00000000" w:rsidRPr="005E2067" w:rsidP="005E2067">
      <w:pPr>
        <w:pStyle w:val="ListBullet"/>
      </w:pPr>
      <w:r w:rsidRPr="005E2067">
        <w:t xml:space="preserve">the characteristics of a valid </w:t>
      </w:r>
      <w:r w:rsidRPr="005E2067">
        <w:t>measurement</w:t>
      </w:r>
    </w:p>
    <w:p w:rsidR="00000000" w:rsidRPr="005E2067" w:rsidP="005E2067">
      <w:pPr>
        <w:pStyle w:val="ListBullet"/>
      </w:pPr>
      <w:r w:rsidRPr="005E2067">
        <w:t>relevance/importance of the national measurement legislation and guidelines to laboratory measurement</w:t>
      </w:r>
    </w:p>
    <w:p w:rsidR="00000000" w:rsidRPr="005E2067" w:rsidP="005E2067">
      <w:pPr>
        <w:pStyle w:val="ListBullet"/>
      </w:pPr>
      <w:r w:rsidRPr="005E2067">
        <w:t>sources and estimates of uncertainty in measurements</w:t>
      </w:r>
    </w:p>
    <w:p w:rsidR="00000000" w:rsidRPr="005E2067" w:rsidP="005E2067">
      <w:pPr>
        <w:pStyle w:val="ListBullet"/>
      </w:pPr>
      <w:r w:rsidRPr="005E2067">
        <w:t xml:space="preserve">workplace procedures for: </w:t>
      </w:r>
    </w:p>
    <w:p w:rsidR="00000000" w:rsidRPr="005E2067" w:rsidP="005E2067">
      <w:pPr>
        <w:pStyle w:val="ListBullet2"/>
      </w:pPr>
      <w:r w:rsidRPr="005E2067">
        <w:t>data traceability</w:t>
      </w:r>
    </w:p>
    <w:p w:rsidR="00000000" w:rsidRPr="005E2067" w:rsidP="005E2067">
      <w:pPr>
        <w:pStyle w:val="ListBullet2"/>
      </w:pPr>
      <w:r w:rsidRPr="005E2067">
        <w:t>verifying data and rectifying mistakes</w:t>
      </w:r>
    </w:p>
    <w:p w:rsidR="00000000" w:rsidRPr="005E2067" w:rsidP="005E2067">
      <w:pPr>
        <w:pStyle w:val="ListBullet2"/>
      </w:pPr>
      <w:r w:rsidRPr="005E2067">
        <w:t>main</w:t>
      </w:r>
      <w:r w:rsidRPr="005E2067">
        <w:t>taining and filing records, and maintaining security of data</w:t>
      </w:r>
    </w:p>
    <w:p w:rsidR="00000000" w:rsidRPr="005E2067" w:rsidP="005E2067">
      <w:pPr>
        <w:pStyle w:val="ListBullet"/>
      </w:pPr>
      <w:r w:rsidRPr="005E2067">
        <w:t xml:space="preserve">legal, ethical and work health and safety (WHS) requirements specific to the work task. </w:t>
      </w:r>
    </w:p>
    <w:p w:rsidR="00000000" w:rsidRPr="005E2067" w:rsidP="005E2067">
      <w:pPr>
        <w:pStyle w:val="AllowPageBreak"/>
      </w:pPr>
    </w:p>
    <w:p w:rsidR="00000000" w:rsidRPr="005E2067" w:rsidP="005E2067">
      <w:pPr>
        <w:pStyle w:val="Heading1"/>
      </w:pPr>
      <w:bookmarkStart w:id="4" w:name="O_985903"/>
      <w:bookmarkEnd w:id="4"/>
      <w:r w:rsidRPr="005E2067">
        <w:t>Assessment Conditions</w:t>
      </w:r>
    </w:p>
    <w:p w:rsidR="00000000" w:rsidRPr="005E2067" w:rsidP="00644471">
      <w:pPr>
        <w:pStyle w:val="BodyText"/>
      </w:pPr>
      <w:r w:rsidRPr="005E2067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5E2067" w:rsidP="005E2067">
      <w:pPr>
        <w:pStyle w:val="ListBullet"/>
      </w:pPr>
      <w:r w:rsidRPr="005E2067">
        <w:t xml:space="preserve">use of suitable facilities, equipment and resources, including: </w:t>
      </w:r>
    </w:p>
    <w:p w:rsidR="00000000" w:rsidRPr="005E2067" w:rsidP="005E2067">
      <w:pPr>
        <w:pStyle w:val="ListBullet2"/>
      </w:pPr>
      <w:r w:rsidRPr="005E2067">
        <w:t>data sets and records</w:t>
      </w:r>
    </w:p>
    <w:p w:rsidR="00000000" w:rsidRPr="005E2067" w:rsidP="005E2067">
      <w:pPr>
        <w:pStyle w:val="ListBullet2"/>
      </w:pPr>
      <w:r w:rsidRPr="005E2067">
        <w:t>calculator</w:t>
      </w:r>
    </w:p>
    <w:p w:rsidR="00000000" w:rsidRPr="005E2067" w:rsidP="005E2067">
      <w:pPr>
        <w:pStyle w:val="ListBullet2"/>
      </w:pPr>
      <w:r w:rsidRPr="005E2067">
        <w:t>computer and relevant software, including spreadsheets, databases and statistical packages or laboratory information system</w:t>
      </w:r>
    </w:p>
    <w:p w:rsidR="00000000" w:rsidRPr="005E2067" w:rsidP="005E2067">
      <w:pPr>
        <w:pStyle w:val="ListBullet2"/>
      </w:pPr>
      <w:r w:rsidRPr="005E2067">
        <w:t>relevant workplace procedures.</w:t>
      </w:r>
    </w:p>
    <w:p w:rsidR="00000000" w:rsidRPr="005E2067" w:rsidP="00644471">
      <w:pPr>
        <w:pStyle w:val="BodyText"/>
      </w:pPr>
      <w:r w:rsidRPr="005E2067">
        <w:br/>
        <w:t>Assessors must satisfy the NVR/AQTF mandatory competency requiremen</w:t>
      </w:r>
      <w:r w:rsidRPr="005E2067">
        <w:t>ts for assessors.</w:t>
      </w:r>
    </w:p>
    <w:p w:rsidR="00000000" w:rsidRPr="005E2067" w:rsidP="005E2067">
      <w:pPr>
        <w:pStyle w:val="AllowPageBreak"/>
      </w:pPr>
    </w:p>
    <w:p w:rsidR="00000000" w:rsidRPr="005E2067" w:rsidP="005E2067">
      <w:pPr>
        <w:pStyle w:val="Heading1"/>
      </w:pPr>
      <w:bookmarkStart w:id="5" w:name="O_985901"/>
      <w:bookmarkEnd w:id="5"/>
      <w:r w:rsidRPr="005E2067">
        <w:t>Links</w:t>
      </w:r>
    </w:p>
    <w:p w:rsidR="00000000" w:rsidRPr="005E2067" w:rsidP="00644471">
      <w:pPr>
        <w:pStyle w:val="BodyText"/>
      </w:pPr>
      <w:r w:rsidRPr="005E2067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2D71FE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5E2067" w:rsidP="005E2067"/>
    <w:sectPr w:rsidSect="005E206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0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067" w:rsidRPr="00644471" w:rsidP="006444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0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471" w:rsidP="005E20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44471" w:rsidP="005E20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44471" w:rsidP="005E20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0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4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2067" w:rsidRPr="00644471" w:rsidP="006444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0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471" w:rsidRPr="002D2AF8" w:rsidP="005E20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MSL925004 Analyse data and report results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644471" w:rsidP="005E20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B86F7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8B8C4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35250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20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20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20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20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20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20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20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20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20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20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20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2067"/>
  </w:style>
  <w:style w:type="character" w:customStyle="1" w:styleId="Heading1Char">
    <w:name w:val="Heading 1 Char"/>
    <w:basedOn w:val="DefaultParagraphFont"/>
    <w:link w:val="Heading1"/>
    <w:rsid w:val="005E20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20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20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206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E2067"/>
    <w:rPr>
      <w:b/>
      <w:spacing w:val="0"/>
    </w:rPr>
  </w:style>
  <w:style w:type="paragraph" w:styleId="ListBullet2">
    <w:name w:val="List Bullet 2"/>
    <w:basedOn w:val="List2"/>
    <w:rsid w:val="005E206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E2067"/>
    <w:rPr>
      <w:i/>
    </w:rPr>
  </w:style>
  <w:style w:type="paragraph" w:customStyle="1" w:styleId="SuperHeading">
    <w:name w:val="SuperHeading"/>
    <w:basedOn w:val="Normal"/>
    <w:rsid w:val="005E20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20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20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20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20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20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20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20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20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20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20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20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20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20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20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20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20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20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20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20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20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20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20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20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20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E20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20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20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20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20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20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20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20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206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E20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20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20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2067"/>
  </w:style>
  <w:style w:type="paragraph" w:styleId="TableofFigures">
    <w:name w:val="table of figures"/>
    <w:basedOn w:val="Normal"/>
    <w:next w:val="Normal"/>
    <w:semiHidden/>
    <w:rsid w:val="005E20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206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E2067"/>
    <w:rPr>
      <w:rFonts w:ascii="Wingdings" w:hAnsi="Wingdings"/>
    </w:rPr>
  </w:style>
  <w:style w:type="paragraph" w:customStyle="1" w:styleId="TableHeading">
    <w:name w:val="Table Heading"/>
    <w:basedOn w:val="HeadingBase"/>
    <w:rsid w:val="005E20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2067"/>
    <w:rPr>
      <w:color w:val="0033CC"/>
      <w:u w:val="none"/>
    </w:rPr>
  </w:style>
  <w:style w:type="paragraph" w:customStyle="1" w:styleId="BodyTextRight">
    <w:name w:val="Body Text Right"/>
    <w:basedOn w:val="BodyText"/>
    <w:rsid w:val="005E20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20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206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20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20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20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2067"/>
    <w:rPr>
      <w:sz w:val="32"/>
    </w:rPr>
  </w:style>
  <w:style w:type="paragraph" w:customStyle="1" w:styleId="HeadingProcedure">
    <w:name w:val="Heading Procedure"/>
    <w:basedOn w:val="HeadingBase"/>
    <w:next w:val="Normal"/>
    <w:rsid w:val="005E20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2067"/>
    <w:pPr>
      <w:spacing w:before="60" w:after="60"/>
    </w:pPr>
  </w:style>
  <w:style w:type="paragraph" w:styleId="ListContinue">
    <w:name w:val="List Continue"/>
    <w:basedOn w:val="List"/>
    <w:rsid w:val="005E2067"/>
    <w:pPr>
      <w:ind w:firstLine="0"/>
    </w:pPr>
  </w:style>
  <w:style w:type="paragraph" w:customStyle="1" w:styleId="ListNote">
    <w:name w:val="List Note"/>
    <w:basedOn w:val="List"/>
    <w:rsid w:val="005E20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20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20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2067"/>
    <w:rPr>
      <w:rFonts w:ascii="Courier New" w:hAnsi="Courier New"/>
    </w:rPr>
  </w:style>
  <w:style w:type="paragraph" w:customStyle="1" w:styleId="NoteBullet">
    <w:name w:val="Note Bullet"/>
    <w:basedOn w:val="Note"/>
    <w:rsid w:val="005E20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20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20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20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206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E20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20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2067"/>
    <w:rPr>
      <w:b/>
      <w:smallCaps/>
    </w:rPr>
  </w:style>
  <w:style w:type="paragraph" w:customStyle="1" w:styleId="TableListNumber">
    <w:name w:val="Table List Number"/>
    <w:basedOn w:val="ListNumber"/>
    <w:rsid w:val="005E20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20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2067"/>
    <w:pPr>
      <w:numPr>
        <w:numId w:val="9"/>
      </w:numPr>
    </w:pPr>
  </w:style>
  <w:style w:type="paragraph" w:customStyle="1" w:styleId="ListAlpha2">
    <w:name w:val="List Alpha 2"/>
    <w:basedOn w:val="List2"/>
    <w:rsid w:val="005E2067"/>
    <w:pPr>
      <w:numPr>
        <w:numId w:val="8"/>
      </w:numPr>
    </w:pPr>
  </w:style>
  <w:style w:type="paragraph" w:styleId="List2">
    <w:name w:val="List 2"/>
    <w:basedOn w:val="BodyText"/>
    <w:rsid w:val="005E20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20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20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20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206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206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E2067"/>
    <w:pPr>
      <w:numPr>
        <w:numId w:val="4"/>
      </w:numPr>
    </w:pPr>
  </w:style>
  <w:style w:type="paragraph" w:styleId="ListContinue2">
    <w:name w:val="List Continue 2"/>
    <w:basedOn w:val="List2"/>
    <w:rsid w:val="005E2067"/>
    <w:pPr>
      <w:ind w:firstLine="0"/>
    </w:pPr>
  </w:style>
  <w:style w:type="paragraph" w:styleId="ListContinue3">
    <w:name w:val="List Continue 3"/>
    <w:basedOn w:val="List3"/>
    <w:rsid w:val="005E2067"/>
    <w:pPr>
      <w:ind w:left="1021" w:firstLine="0"/>
    </w:pPr>
  </w:style>
  <w:style w:type="paragraph" w:styleId="ListContinue4">
    <w:name w:val="List Continue 4"/>
    <w:basedOn w:val="List4"/>
    <w:rsid w:val="005E2067"/>
    <w:pPr>
      <w:ind w:firstLine="0"/>
    </w:pPr>
  </w:style>
  <w:style w:type="paragraph" w:styleId="ListContinue5">
    <w:name w:val="List Continue 5"/>
    <w:basedOn w:val="List5"/>
    <w:rsid w:val="005E2067"/>
    <w:pPr>
      <w:ind w:firstLine="0"/>
    </w:pPr>
  </w:style>
  <w:style w:type="paragraph" w:styleId="ListNumber3">
    <w:name w:val="List Number 3"/>
    <w:basedOn w:val="List3"/>
    <w:rsid w:val="005E2067"/>
    <w:pPr>
      <w:numPr>
        <w:numId w:val="5"/>
      </w:numPr>
    </w:pPr>
  </w:style>
  <w:style w:type="paragraph" w:styleId="ListNumber4">
    <w:name w:val="List Number 4"/>
    <w:basedOn w:val="List4"/>
    <w:rsid w:val="005E2067"/>
    <w:pPr>
      <w:numPr>
        <w:numId w:val="6"/>
      </w:numPr>
    </w:pPr>
  </w:style>
  <w:style w:type="paragraph" w:styleId="ListNumber5">
    <w:name w:val="List Number 5"/>
    <w:basedOn w:val="List5"/>
    <w:rsid w:val="005E2067"/>
    <w:pPr>
      <w:numPr>
        <w:numId w:val="7"/>
      </w:numPr>
    </w:pPr>
  </w:style>
  <w:style w:type="paragraph" w:styleId="BlockText">
    <w:name w:val="Block Text"/>
    <w:basedOn w:val="Normal"/>
    <w:rsid w:val="005E20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20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2067"/>
    <w:rPr>
      <w:sz w:val="16"/>
      <w:vertAlign w:val="superscript"/>
    </w:rPr>
  </w:style>
  <w:style w:type="character" w:customStyle="1" w:styleId="Symbols">
    <w:name w:val="Symbols"/>
    <w:basedOn w:val="DefaultParagraphFont"/>
    <w:rsid w:val="005E2067"/>
    <w:rPr>
      <w:rFonts w:ascii="Symbol" w:hAnsi="Symbol"/>
    </w:rPr>
  </w:style>
  <w:style w:type="character" w:customStyle="1" w:styleId="MenuOptions">
    <w:name w:val="Menu Options"/>
    <w:basedOn w:val="DefaultParagraphFont"/>
    <w:rsid w:val="005E20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2067"/>
    <w:rPr>
      <w:b/>
    </w:rPr>
  </w:style>
  <w:style w:type="character" w:customStyle="1" w:styleId="Underlined">
    <w:name w:val="Underlined"/>
    <w:basedOn w:val="DefaultParagraphFont"/>
    <w:rsid w:val="005E2067"/>
    <w:rPr>
      <w:u w:val="single"/>
    </w:rPr>
  </w:style>
  <w:style w:type="paragraph" w:customStyle="1" w:styleId="TableBodyTextRight">
    <w:name w:val="Table Body Text Right"/>
    <w:basedOn w:val="TableBodyText"/>
    <w:rsid w:val="005E20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2067"/>
    <w:rPr>
      <w:sz w:val="18"/>
    </w:rPr>
  </w:style>
  <w:style w:type="paragraph" w:customStyle="1" w:styleId="BodySmallRight">
    <w:name w:val="Body Small Right"/>
    <w:basedOn w:val="BodyTextRight"/>
    <w:rsid w:val="005E2067"/>
    <w:rPr>
      <w:sz w:val="18"/>
      <w:szCs w:val="18"/>
    </w:rPr>
  </w:style>
  <w:style w:type="paragraph" w:customStyle="1" w:styleId="MarginEdition">
    <w:name w:val="Margin Edition"/>
    <w:basedOn w:val="MarginNote"/>
    <w:rsid w:val="005E20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2067"/>
    <w:rPr>
      <w:sz w:val="2"/>
      <w:szCs w:val="2"/>
    </w:rPr>
  </w:style>
  <w:style w:type="character" w:customStyle="1" w:styleId="Small">
    <w:name w:val="Small"/>
    <w:basedOn w:val="DefaultParagraphFont"/>
    <w:rsid w:val="005E2067"/>
    <w:rPr>
      <w:sz w:val="16"/>
    </w:rPr>
  </w:style>
  <w:style w:type="paragraph" w:customStyle="1" w:styleId="WideTable">
    <w:name w:val="Wide Table"/>
    <w:basedOn w:val="Normal"/>
    <w:rsid w:val="005E20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2067"/>
  </w:style>
  <w:style w:type="paragraph" w:styleId="Quote">
    <w:name w:val="Quote"/>
    <w:basedOn w:val="Heading1"/>
    <w:link w:val="QuoteChar"/>
    <w:qFormat/>
    <w:rsid w:val="005E20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20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2067"/>
    <w:pPr>
      <w:pageBreakBefore/>
    </w:pPr>
  </w:style>
  <w:style w:type="paragraph" w:customStyle="1" w:styleId="Border">
    <w:name w:val="Border"/>
    <w:basedOn w:val="Normal"/>
    <w:qFormat/>
    <w:rsid w:val="005E20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20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20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20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20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20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20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20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20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2067"/>
    <w:rPr>
      <w:u w:val="single"/>
    </w:rPr>
  </w:style>
  <w:style w:type="character" w:customStyle="1" w:styleId="BoldandItalics">
    <w:name w:val="Bold and Italics"/>
    <w:qFormat/>
    <w:rsid w:val="005E2067"/>
    <w:rPr>
      <w:b/>
      <w:i/>
      <w:u w:val="none"/>
    </w:rPr>
  </w:style>
  <w:style w:type="paragraph" w:styleId="BalloonText">
    <w:name w:val="Balloon Text"/>
    <w:basedOn w:val="Normal"/>
    <w:link w:val="BalloonTextChar"/>
    <w:rsid w:val="005E20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20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20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20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20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20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2067"/>
    <w:pPr>
      <w:spacing w:before="0" w:after="0"/>
    </w:pPr>
  </w:style>
  <w:style w:type="paragraph" w:customStyle="1" w:styleId="BodyTextBold">
    <w:name w:val="Body Text Bold"/>
    <w:basedOn w:val="BodyText"/>
    <w:qFormat/>
    <w:rsid w:val="005E2067"/>
    <w:rPr>
      <w:b/>
    </w:rPr>
  </w:style>
  <w:style w:type="character" w:styleId="Hyperlink">
    <w:name w:val="Hyperlink"/>
    <w:basedOn w:val="DefaultParagraphFont"/>
    <w:uiPriority w:val="99"/>
    <w:unhideWhenUsed/>
    <w:rsid w:val="006444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515</Words>
  <Characters>3560</Characters>
  <Application>Microsoft Office Word</Application>
  <DocSecurity>0</DocSecurity>
  <Lines>89</Lines>
  <Paragraphs>69</Paragraphs>
  <ScaleCrop>false</ScaleCrop>
  <Company>Author-it Software Corporation Ltd.</Company>
  <LinksUpToDate>false</LinksUpToDate>
  <CharactersWithSpaces>4006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MSL925004 Analyse data and report results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2025-02-21T06:46:00Z</dcterms:created>
  <dcterms:modified xsi:type="dcterms:W3CDTF">2025-02-21T06:46:00Z</dcterms:modified>
</cp:coreProperties>
</file>