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4D9D" w:rsidP="00094D9D">
      <w:pPr>
        <w:pStyle w:val="Title"/>
      </w:pPr>
      <w:r>
        <w:fldChar w:fldCharType="begin"/>
      </w:r>
      <w:r>
        <w:instrText xml:space="preserve"> TITLE   \* MERGEFORMAT </w:instrText>
      </w:r>
      <w:r>
        <w:fldChar w:fldCharType="separate"/>
      </w:r>
      <w:r>
        <w:t>MSL925003 Determine measurements of uncertainty</w:t>
      </w:r>
      <w:r>
        <w:fldChar w:fldCharType="end"/>
      </w:r>
    </w:p>
    <w:p w:rsidR="00094D9D" w:rsidP="00094D9D">
      <w:pPr>
        <w:pStyle w:val="Version"/>
        <w:sectPr w:rsidSect="004C2F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FC9" w:rsidP="004C2FC9">
      <w:pPr>
        <w:pStyle w:val="SuperHeading"/>
      </w:pPr>
      <w:r w:rsidRPr="004C2FC9">
        <w:t>MSL925003 Determine measurements of uncertainty</w:t>
      </w:r>
    </w:p>
    <w:p w:rsidR="00000000" w:rsidRPr="004C2FC9" w:rsidP="004C2FC9">
      <w:pPr>
        <w:pStyle w:val="Heading1"/>
      </w:pPr>
      <w:bookmarkStart w:id="1" w:name="O_970902"/>
      <w:bookmarkEnd w:id="1"/>
      <w:r w:rsidRPr="004C2FC9">
        <w:t>Modification History</w:t>
      </w:r>
    </w:p>
    <w:tbl>
      <w:tblPr>
        <w:tblW w:w="0" w:type="auto"/>
        <w:tblLayout w:type="fixed"/>
        <w:tblCellMar>
          <w:left w:w="62" w:type="dxa"/>
          <w:right w:w="62" w:type="dxa"/>
        </w:tblCellMar>
        <w:tblLook w:val="0000"/>
      </w:tblPr>
      <w:tblGrid>
        <w:gridCol w:w="2728"/>
        <w:gridCol w:w="6344"/>
      </w:tblGrid>
      <w:tr w:rsidTr="004C2FC9">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2FC9" w:rsidP="004C2FC9">
            <w:pPr>
              <w:pStyle w:val="BodyText"/>
            </w:pPr>
            <w:r w:rsidRPr="004C2FC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FC9">
            <w:pPr>
              <w:pStyle w:val="BodyText"/>
              <w:rPr>
                <w:lang w:val="en-NZ"/>
              </w:rPr>
            </w:pPr>
            <w:r w:rsidRPr="004C2FC9">
              <w:rPr>
                <w:rStyle w:val="SpecialBold"/>
              </w:rPr>
              <w:t>Comments</w:t>
            </w:r>
          </w:p>
        </w:tc>
      </w:tr>
      <w:tr w:rsidTr="004C2FC9">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FC9">
            <w:pPr>
              <w:pStyle w:val="BodyText"/>
              <w:rPr>
                <w:lang w:val="en-NZ"/>
              </w:rPr>
            </w:pPr>
            <w:r w:rsidRPr="004C2FC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FC9" w:rsidP="004C2FC9">
            <w:pPr>
              <w:pStyle w:val="BodyText"/>
            </w:pPr>
            <w:r w:rsidRPr="004C2FC9">
              <w:t xml:space="preserve">This version was released in </w:t>
            </w:r>
            <w:r w:rsidRPr="004C2FC9">
              <w:rPr>
                <w:rStyle w:val="Emphasis"/>
              </w:rPr>
              <w:t>MSL Laboratory Operations Training Package Release 2.0</w:t>
            </w:r>
            <w:r w:rsidRPr="004C2FC9">
              <w:t>.</w:t>
            </w:r>
          </w:p>
          <w:p w:rsidR="00000000" w:rsidRPr="004C2FC9" w:rsidP="004C2FC9">
            <w:pPr>
              <w:pStyle w:val="BodyText"/>
            </w:pPr>
            <w:r w:rsidRPr="004C2FC9">
              <w:t xml:space="preserve">Supersedes and equivalent to </w:t>
            </w:r>
            <w:r w:rsidRPr="004C2FC9">
              <w:rPr>
                <w:rStyle w:val="Emphasis"/>
              </w:rPr>
              <w:t>MSL925002 Analyse measurements and estimate uncertainties</w:t>
            </w:r>
            <w:r w:rsidRPr="004C2FC9">
              <w:t>. Prerequisite removed. Rang</w:t>
            </w:r>
            <w:r w:rsidRPr="004C2FC9">
              <w:t>e of conditions removed. Assessment requirements amended.</w:t>
            </w:r>
          </w:p>
        </w:tc>
      </w:tr>
    </w:tbl>
    <w:p w:rsidR="00000000" w:rsidRPr="004C2FC9" w:rsidP="004C2FC9">
      <w:pPr>
        <w:pStyle w:val="BodyText"/>
      </w:pPr>
    </w:p>
    <w:p w:rsidR="00000000" w:rsidRPr="004C2FC9" w:rsidP="004C2FC9">
      <w:pPr>
        <w:pStyle w:val="AllowPageBreak"/>
      </w:pPr>
    </w:p>
    <w:p w:rsidR="00000000" w:rsidRPr="004C2FC9" w:rsidP="004C2FC9">
      <w:pPr>
        <w:pStyle w:val="Heading1"/>
      </w:pPr>
      <w:bookmarkStart w:id="2" w:name="O_970910"/>
      <w:bookmarkEnd w:id="2"/>
      <w:r w:rsidRPr="004C2FC9">
        <w:t>Application</w:t>
      </w:r>
    </w:p>
    <w:p w:rsidR="00000000" w:rsidRPr="004C2FC9" w:rsidP="00094D9D">
      <w:pPr>
        <w:pStyle w:val="BodyText"/>
      </w:pPr>
      <w:r w:rsidRPr="004C2FC9">
        <w:t xml:space="preserve">This unit of competency describes the skills and knowledge to use statistical analysis to estimate and report measurement uncertainty in accordance with the ISO Guide </w:t>
      </w:r>
      <w:r w:rsidRPr="004C2FC9">
        <w:t>to the Expression of Uncertainty in Measurement (or its replacement Standard). Personnel are required to review their estimates of measurement uncertainty to assist with making decisions on the fitness for purpose of the measurements.</w:t>
      </w:r>
    </w:p>
    <w:p w:rsidR="00000000" w:rsidRPr="004C2FC9" w:rsidP="00094D9D">
      <w:pPr>
        <w:pStyle w:val="BodyText"/>
      </w:pPr>
      <w:r w:rsidRPr="004C2FC9">
        <w:t>This unit of compete</w:t>
      </w:r>
      <w:r w:rsidRPr="004C2FC9">
        <w:t>ncy applies to laboratory personnel who work in calibration and testing facilities, process and interpret data and are required to determine uncertainties using standard methods. The rigour required in estimating uncertainty will depend on the required acc</w:t>
      </w:r>
      <w:r w:rsidRPr="004C2FC9">
        <w:t xml:space="preserve">uracy of the particular calibration, test or measurement. </w:t>
      </w:r>
    </w:p>
    <w:p w:rsidR="00000000" w:rsidRPr="004C2FC9" w:rsidP="00094D9D">
      <w:pPr>
        <w:pStyle w:val="BodyText"/>
      </w:pPr>
      <w:r w:rsidRPr="004C2FC9">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4C2FC9">
        <w:t>and codes of practice within Australia must also be applied.</w:t>
      </w:r>
    </w:p>
    <w:p w:rsidR="00000000" w:rsidRPr="004C2FC9" w:rsidP="004C2FC9">
      <w:pPr>
        <w:pStyle w:val="Heading1"/>
      </w:pPr>
      <w:bookmarkStart w:id="3" w:name="O_970909"/>
      <w:bookmarkEnd w:id="3"/>
      <w:r w:rsidRPr="004C2FC9">
        <w:t>Pre-requisite Unit</w:t>
      </w:r>
    </w:p>
    <w:p w:rsidR="00000000" w:rsidRPr="004C2FC9" w:rsidP="00094D9D">
      <w:pPr>
        <w:pStyle w:val="BodyText"/>
      </w:pPr>
      <w:r w:rsidRPr="004C2FC9">
        <w:t>Nil</w:t>
      </w:r>
    </w:p>
    <w:p w:rsidR="00000000" w:rsidRPr="004C2FC9" w:rsidP="004C2FC9">
      <w:pPr>
        <w:pStyle w:val="Heading1"/>
      </w:pPr>
      <w:bookmarkStart w:id="4" w:name="O_970908"/>
      <w:bookmarkEnd w:id="4"/>
      <w:r w:rsidRPr="004C2FC9">
        <w:t>Competency Field</w:t>
      </w:r>
    </w:p>
    <w:p w:rsidR="00000000" w:rsidRPr="004C2FC9" w:rsidP="00094D9D">
      <w:pPr>
        <w:pStyle w:val="BodyText"/>
      </w:pPr>
      <w:r w:rsidRPr="004C2FC9">
        <w:t xml:space="preserve">Data </w:t>
      </w:r>
    </w:p>
    <w:p w:rsidR="00000000" w:rsidRPr="004C2FC9" w:rsidP="004C2FC9">
      <w:pPr>
        <w:pStyle w:val="Heading1"/>
      </w:pPr>
      <w:bookmarkStart w:id="5" w:name="O_970906"/>
      <w:bookmarkEnd w:id="5"/>
      <w:r w:rsidRPr="004C2FC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C2FC9">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 xml:space="preserve">Performance criteria </w:t>
            </w:r>
            <w:r w:rsidRPr="004C2FC9">
              <w:t>describe the performance needed to demonstrate achievement of the element.</w:t>
            </w: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C2FC9" w:rsidP="004C2FC9">
            <w:pPr>
              <w:pStyle w:val="BodyText"/>
            </w:pPr>
            <w:r w:rsidRPr="004C2FC9">
              <w:t>1</w:t>
            </w:r>
          </w:p>
        </w:tc>
        <w:tc>
          <w:tcPr>
            <w:tcW w:w="1962" w:type="dxa"/>
            <w:vMerge w:val="restart"/>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rPr>
                <w:rStyle w:val="SpecialBold"/>
              </w:rPr>
              <w:t>Identify the measured quantity and the uncertainty components</w:t>
            </w: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1.1</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Specify an equation for the measurement</w:t>
            </w: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1.2</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List uncertainty components that are associated with each input in the equation</w:t>
            </w:r>
          </w:p>
        </w:tc>
      </w:tr>
      <w:tr w:rsidTr="004C2FC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C2FC9">
            <w:pPr>
              <w:pStyle w:val="BodyText"/>
              <w:rPr>
                <w:lang w:val="en-NZ"/>
              </w:rPr>
            </w:pP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C2FC9" w:rsidP="004C2FC9">
            <w:pPr>
              <w:pStyle w:val="BodyText"/>
            </w:pPr>
            <w:r w:rsidRPr="004C2FC9">
              <w:t>2</w:t>
            </w:r>
          </w:p>
        </w:tc>
        <w:tc>
          <w:tcPr>
            <w:tcW w:w="1962" w:type="dxa"/>
            <w:vMerge w:val="restart"/>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rPr>
                <w:rStyle w:val="SpecialBold"/>
              </w:rPr>
              <w:t>Determine the size of each uncertainty component</w:t>
            </w: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2.1</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Calculate the standard deviations and standard deviation of the mean from the measurement results</w:t>
            </w: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2.2</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Use calibration reports, manufacturer</w:t>
            </w:r>
            <w:r>
              <w:t>’</w:t>
            </w:r>
            <w:r w:rsidRPr="004C2FC9">
              <w:t>s specifications, quality control and validation data, and experimental data to collect other available information on the uncertainty components</w:t>
            </w:r>
          </w:p>
        </w:tc>
      </w:tr>
      <w:tr w:rsidTr="004C2FC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C2FC9">
            <w:pPr>
              <w:pStyle w:val="BodyText"/>
              <w:rPr>
                <w:lang w:val="en-NZ"/>
              </w:rPr>
            </w:pP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C2FC9" w:rsidP="004C2FC9">
            <w:pPr>
              <w:pStyle w:val="BodyText"/>
            </w:pPr>
            <w:r w:rsidRPr="004C2FC9">
              <w:t>3</w:t>
            </w:r>
          </w:p>
        </w:tc>
        <w:tc>
          <w:tcPr>
            <w:tcW w:w="1962" w:type="dxa"/>
            <w:vMerge w:val="restart"/>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rPr>
                <w:rStyle w:val="SpecialBold"/>
              </w:rPr>
              <w:t>Reduce each uncertainty component to a standard uncertainty</w:t>
            </w: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3.1</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Allocate an appropriate distribution for each uncertainty component</w:t>
            </w: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3.2</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Calculate the standard uncertainties</w:t>
            </w:r>
          </w:p>
        </w:tc>
      </w:tr>
      <w:tr w:rsidTr="004C2FC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C2FC9">
            <w:pPr>
              <w:pStyle w:val="BodyText"/>
              <w:rPr>
                <w:lang w:val="en-NZ"/>
              </w:rPr>
            </w:pP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C2FC9" w:rsidP="004C2FC9">
            <w:pPr>
              <w:pStyle w:val="BodyText"/>
            </w:pPr>
            <w:r w:rsidRPr="004C2FC9">
              <w:t>4</w:t>
            </w:r>
          </w:p>
        </w:tc>
        <w:tc>
          <w:tcPr>
            <w:tcW w:w="1962" w:type="dxa"/>
            <w:vMerge w:val="restart"/>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rPr>
                <w:rStyle w:val="SpecialBold"/>
              </w:rPr>
              <w:t>Calculate an expanded uncertainty to the required confidence level</w:t>
            </w: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4.1</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Calculate the sensitivity coefficient for each uncertainty component</w:t>
            </w: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4.2</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Calculate a combined standard uncertainty</w:t>
            </w: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4.3</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Determine an appropriate coverage factor based on the degrees of freedom associated with each uncertainty component</w:t>
            </w: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4.4</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Calculate the expanded uncertainty</w:t>
            </w:r>
          </w:p>
        </w:tc>
      </w:tr>
      <w:tr w:rsidTr="004C2FC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4C2FC9">
            <w:pPr>
              <w:pStyle w:val="BodyText"/>
              <w:rPr>
                <w:lang w:val="en-NZ"/>
              </w:rPr>
            </w:pP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4C2FC9" w:rsidP="004C2FC9">
            <w:pPr>
              <w:pStyle w:val="BodyText"/>
            </w:pPr>
            <w:r w:rsidRPr="004C2FC9">
              <w:t>5</w:t>
            </w:r>
          </w:p>
        </w:tc>
        <w:tc>
          <w:tcPr>
            <w:tcW w:w="1962" w:type="dxa"/>
            <w:vMerge w:val="restart"/>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rPr>
                <w:rStyle w:val="SpecialBold"/>
              </w:rPr>
              <w:t>Report the expanded uncertainty</w:t>
            </w: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5.1</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Report the result and uncertainty to an appropriate number of significant figures</w:t>
            </w: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5.2</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Report the confidence level and coverage factor</w:t>
            </w: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5.3</w:t>
            </w:r>
          </w:p>
        </w:tc>
        <w:tc>
          <w:tcPr>
            <w:tcW w:w="561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 xml:space="preserve">Determine the appropriateness of the size of the </w:t>
            </w:r>
            <w:r w:rsidRPr="004C2FC9">
              <w:t>expanded uncertainty relative to the tolerance or required accuracy of the test</w:t>
            </w:r>
          </w:p>
        </w:tc>
      </w:tr>
      <w:tr w:rsidTr="004C2FC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C2FC9">
            <w:pPr>
              <w:pStyle w:val="BodyText"/>
              <w:rPr>
                <w:lang w:val="en-NZ"/>
              </w:rPr>
            </w:pPr>
            <w:r w:rsidRPr="004C2FC9">
              <w:t>5.4</w:t>
            </w:r>
          </w:p>
        </w:tc>
        <w:tc>
          <w:tcPr>
            <w:tcW w:w="5610" w:type="dxa"/>
            <w:tcBorders>
              <w:top w:val="nil"/>
              <w:left w:val="nil"/>
              <w:bottom w:val="nil"/>
              <w:right w:val="nil"/>
            </w:tcBorders>
            <w:tcMar>
              <w:top w:w="0" w:type="dxa"/>
              <w:left w:w="62" w:type="dxa"/>
              <w:bottom w:w="0" w:type="dxa"/>
              <w:right w:w="62" w:type="dxa"/>
            </w:tcMar>
          </w:tcPr>
          <w:p w:rsidR="00000000" w:rsidRPr="004C2FC9" w:rsidP="004C2FC9">
            <w:pPr>
              <w:pStyle w:val="BodyText"/>
            </w:pPr>
            <w:r w:rsidRPr="004C2FC9">
              <w:t>Determine the fitness for purpose of the expanded uncertainty relative to the use of the measurement result</w:t>
            </w:r>
          </w:p>
        </w:tc>
      </w:tr>
    </w:tbl>
    <w:p w:rsidR="00000000" w:rsidRPr="004C2FC9" w:rsidP="004C2FC9">
      <w:pPr>
        <w:pStyle w:val="BodyText"/>
      </w:pPr>
    </w:p>
    <w:p w:rsidR="00000000" w:rsidRPr="004C2FC9" w:rsidP="004C2FC9">
      <w:pPr>
        <w:pStyle w:val="AllowPageBreak"/>
      </w:pPr>
    </w:p>
    <w:p w:rsidR="00000000" w:rsidRPr="004C2FC9" w:rsidP="004C2FC9">
      <w:pPr>
        <w:pStyle w:val="Heading1"/>
      </w:pPr>
      <w:bookmarkStart w:id="6" w:name="O_970905"/>
      <w:bookmarkEnd w:id="6"/>
      <w:r w:rsidRPr="004C2FC9">
        <w:t>Foundation Skills</w:t>
      </w:r>
    </w:p>
    <w:p w:rsidR="00000000" w:rsidRPr="004C2FC9" w:rsidP="00094D9D">
      <w:pPr>
        <w:pStyle w:val="BodyText"/>
      </w:pPr>
      <w:r w:rsidRPr="004C2FC9">
        <w:t>This section describes those language, literacy, numeracy and employment skills that are essential to performance.</w:t>
      </w:r>
    </w:p>
    <w:p w:rsidR="00000000" w:rsidRPr="004C2FC9" w:rsidP="00094D9D">
      <w:pPr>
        <w:pStyle w:val="BodyText"/>
      </w:pPr>
      <w:r w:rsidRPr="004C2FC9">
        <w:t>Foundation skills essential to performance are explicit in the performance criteria of this unit of competency.</w:t>
      </w:r>
    </w:p>
    <w:p w:rsidR="00000000" w:rsidRPr="004C2FC9" w:rsidP="004C2FC9">
      <w:pPr>
        <w:pStyle w:val="Heading1"/>
      </w:pPr>
      <w:bookmarkStart w:id="7" w:name="O_970903"/>
      <w:bookmarkEnd w:id="7"/>
      <w:r w:rsidRPr="004C2FC9">
        <w:t>Unit Mapping Information</w:t>
      </w:r>
    </w:p>
    <w:p w:rsidR="00000000" w:rsidRPr="004C2FC9" w:rsidP="00094D9D">
      <w:pPr>
        <w:pStyle w:val="BodyText"/>
      </w:pPr>
      <w:r w:rsidRPr="004C2FC9">
        <w:t>Equivalent to MSL925002 Analyse measurements and estimate uncertainties, Release 1.</w:t>
      </w:r>
    </w:p>
    <w:p w:rsidR="00000000" w:rsidRPr="004C2FC9" w:rsidP="004C2FC9">
      <w:pPr>
        <w:pStyle w:val="Heading1"/>
      </w:pPr>
      <w:bookmarkStart w:id="8" w:name="O_970896"/>
      <w:bookmarkEnd w:id="8"/>
      <w:r w:rsidRPr="004C2FC9">
        <w:t>Links</w:t>
      </w:r>
    </w:p>
    <w:p w:rsidR="00000000" w:rsidRPr="004C2FC9" w:rsidP="00094D9D">
      <w:pPr>
        <w:pStyle w:val="BodyText"/>
      </w:pPr>
      <w:r w:rsidRPr="004C2FC9">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204EB">
        <w:rPr>
          <w:rStyle w:val="Hyperlink"/>
        </w:rPr>
        <w:t>https://vetnet.gov.au/Pages/TrainingDocs.aspx?q=5c63a03b-4a6b-4ae5-9560-1e3c5f462baa</w:t>
      </w:r>
      <w:r>
        <w:fldChar w:fldCharType="end"/>
      </w:r>
    </w:p>
    <w:p w:rsidR="00000000" w:rsidRPr="004C2FC9" w:rsidP="00094D9D">
      <w:pPr>
        <w:pStyle w:val="BodyText"/>
        <w:sectPr w:rsidSect="004C2FC9">
          <w:headerReference w:type="default" r:id="rId10"/>
          <w:footerReference w:type="default" r:id="rId11"/>
          <w:pgSz w:w="11908" w:h="16833"/>
          <w:pgMar w:top="1702" w:right="1418" w:bottom="1702" w:left="1418" w:header="992" w:footer="992" w:gutter="0"/>
          <w:cols w:space="720"/>
          <w:noEndnote/>
          <w:docGrid w:linePitch="299"/>
        </w:sectPr>
      </w:pPr>
    </w:p>
    <w:p w:rsidR="00000000" w:rsidRPr="004C2FC9" w:rsidP="004C2FC9">
      <w:pPr>
        <w:pStyle w:val="SuperHeading"/>
      </w:pPr>
      <w:r w:rsidRPr="004C2FC9">
        <w:t>Assessment Requirements for MSL925003 Determine measurements of uncertainty</w:t>
      </w:r>
    </w:p>
    <w:p w:rsidR="00000000" w:rsidRPr="004C2FC9" w:rsidP="004C2FC9">
      <w:pPr>
        <w:pStyle w:val="Heading1"/>
      </w:pPr>
      <w:bookmarkStart w:id="9" w:name="O_970898"/>
      <w:bookmarkEnd w:id="9"/>
      <w:r w:rsidRPr="004C2FC9">
        <w:t>Modification History</w:t>
      </w:r>
    </w:p>
    <w:tbl>
      <w:tblPr>
        <w:tblW w:w="0" w:type="auto"/>
        <w:tblLayout w:type="fixed"/>
        <w:tblCellMar>
          <w:left w:w="62" w:type="dxa"/>
          <w:right w:w="62" w:type="dxa"/>
        </w:tblCellMar>
        <w:tblLook w:val="0000"/>
      </w:tblPr>
      <w:tblGrid>
        <w:gridCol w:w="2728"/>
        <w:gridCol w:w="6344"/>
      </w:tblGrid>
      <w:tr w:rsidTr="004C2FC9">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2FC9" w:rsidP="004C2FC9">
            <w:pPr>
              <w:pStyle w:val="BodyText"/>
            </w:pPr>
            <w:r w:rsidRPr="004C2FC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2FC9">
            <w:pPr>
              <w:pStyle w:val="BodyText"/>
              <w:rPr>
                <w:lang w:val="en-NZ"/>
              </w:rPr>
            </w:pPr>
            <w:r w:rsidRPr="004C2FC9">
              <w:rPr>
                <w:rStyle w:val="SpecialBold"/>
              </w:rPr>
              <w:t>Comments</w:t>
            </w:r>
          </w:p>
        </w:tc>
      </w:tr>
      <w:tr w:rsidTr="004C2FC9">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FC9">
            <w:pPr>
              <w:pStyle w:val="BodyText"/>
              <w:rPr>
                <w:lang w:val="en-NZ"/>
              </w:rPr>
            </w:pPr>
            <w:r w:rsidRPr="004C2FC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FC9" w:rsidP="004C2FC9">
            <w:pPr>
              <w:pStyle w:val="BodyText"/>
            </w:pPr>
            <w:r w:rsidRPr="004C2FC9">
              <w:t xml:space="preserve">This version was released in </w:t>
            </w:r>
            <w:r w:rsidRPr="004C2FC9">
              <w:rPr>
                <w:rStyle w:val="Emphasis"/>
              </w:rPr>
              <w:t>MSL Laboratory Operations Training Package Release 2.0</w:t>
            </w:r>
            <w:r w:rsidRPr="004C2FC9">
              <w:t>.</w:t>
            </w:r>
          </w:p>
          <w:p w:rsidR="00000000" w:rsidRPr="004C2FC9" w:rsidP="004C2FC9">
            <w:pPr>
              <w:pStyle w:val="BodyText"/>
            </w:pPr>
            <w:r w:rsidRPr="004C2FC9">
              <w:t xml:space="preserve">Supersedes and equivalent to </w:t>
            </w:r>
            <w:r w:rsidRPr="004C2FC9">
              <w:rPr>
                <w:rStyle w:val="Emphasis"/>
              </w:rPr>
              <w:t>MSL925002 Analyse measurements and estimate uncertainties</w:t>
            </w:r>
            <w:r w:rsidRPr="004C2FC9">
              <w:t>. Prerequisite removed. Range of conditions removed. Assessment requirements amended.</w:t>
            </w:r>
          </w:p>
        </w:tc>
      </w:tr>
    </w:tbl>
    <w:p w:rsidR="00000000" w:rsidRPr="004C2FC9" w:rsidP="004C2FC9">
      <w:pPr>
        <w:pStyle w:val="BodyText"/>
      </w:pPr>
    </w:p>
    <w:p w:rsidR="00000000" w:rsidRPr="004C2FC9" w:rsidP="004C2FC9">
      <w:pPr>
        <w:pStyle w:val="AllowPageBreak"/>
      </w:pPr>
    </w:p>
    <w:p w:rsidR="00000000" w:rsidRPr="004C2FC9" w:rsidP="004C2FC9">
      <w:pPr>
        <w:pStyle w:val="Heading1"/>
      </w:pPr>
      <w:bookmarkStart w:id="10" w:name="O_970901"/>
      <w:bookmarkEnd w:id="10"/>
      <w:r w:rsidRPr="004C2FC9">
        <w:t>Performance Evidence</w:t>
      </w:r>
    </w:p>
    <w:p w:rsidR="00000000" w:rsidRPr="004C2FC9" w:rsidP="00094D9D">
      <w:pPr>
        <w:pStyle w:val="BodyText"/>
      </w:pPr>
      <w:r w:rsidRPr="004C2FC9">
        <w:t>There must be evidence the candidate has completed the tasks outlined in the elements and performance criteria of this unit, and:</w:t>
      </w:r>
    </w:p>
    <w:p w:rsidR="00000000" w:rsidRPr="004C2FC9" w:rsidP="004C2FC9">
      <w:pPr>
        <w:pStyle w:val="ListBullet"/>
      </w:pPr>
      <w:r w:rsidRPr="004C2FC9">
        <w:t>analysed measurements and estimated uncertainties of a minimum of 3 sets of data, in</w:t>
      </w:r>
      <w:r w:rsidRPr="004C2FC9">
        <w:t xml:space="preserve">cluding: </w:t>
      </w:r>
    </w:p>
    <w:p w:rsidR="00000000" w:rsidRPr="004C2FC9" w:rsidP="004C2FC9">
      <w:pPr>
        <w:pStyle w:val="ListBullet2"/>
      </w:pPr>
      <w:r w:rsidRPr="004C2FC9">
        <w:t>using scientific notation, correct units and correct number of significant figures</w:t>
      </w:r>
    </w:p>
    <w:p w:rsidR="00000000" w:rsidRPr="004C2FC9" w:rsidP="004C2FC9">
      <w:pPr>
        <w:pStyle w:val="ListBullet2"/>
      </w:pPr>
      <w:r w:rsidRPr="004C2FC9">
        <w:t>evaluating formulae containing powers, exponents and logarithms functions</w:t>
      </w:r>
    </w:p>
    <w:p w:rsidR="00000000" w:rsidRPr="004C2FC9" w:rsidP="004C2FC9">
      <w:pPr>
        <w:pStyle w:val="ListBullet2"/>
      </w:pPr>
      <w:r w:rsidRPr="004C2FC9">
        <w:t>preparing and interpreting linear graphs</w:t>
      </w:r>
    </w:p>
    <w:p w:rsidR="00000000" w:rsidRPr="004C2FC9" w:rsidP="004C2FC9">
      <w:pPr>
        <w:pStyle w:val="ListBullet2"/>
      </w:pPr>
      <w:r w:rsidRPr="004C2FC9">
        <w:t>using statistical analysi</w:t>
      </w:r>
      <w:r w:rsidRPr="004C2FC9">
        <w:t xml:space="preserve">s to estimate and report measurement uncertainty in accordance with the </w:t>
      </w:r>
      <w:r w:rsidRPr="004C2FC9">
        <w:rPr>
          <w:rStyle w:val="Emphasis"/>
        </w:rPr>
        <w:t>ISO</w:t>
      </w:r>
      <w:r w:rsidRPr="004C2FC9">
        <w:t xml:space="preserve"> </w:t>
      </w:r>
      <w:r w:rsidRPr="004C2FC9">
        <w:rPr>
          <w:rStyle w:val="Emphasis"/>
        </w:rPr>
        <w:t xml:space="preserve">Guide to the Expression of Uncertainty in Measurement </w:t>
      </w:r>
    </w:p>
    <w:p w:rsidR="00000000" w:rsidRPr="004C2FC9" w:rsidP="004C2FC9">
      <w:pPr>
        <w:pStyle w:val="ListBullet2"/>
      </w:pPr>
      <w:r w:rsidRPr="004C2FC9">
        <w:t>calculating a combined standard uncertainty using root-sum-of-squares, accounting for correlations where necessary</w:t>
      </w:r>
    </w:p>
    <w:p w:rsidR="00000000" w:rsidRPr="004C2FC9" w:rsidP="004C2FC9">
      <w:pPr>
        <w:pStyle w:val="ListBullet2"/>
      </w:pPr>
      <w:r w:rsidRPr="004C2FC9">
        <w:t xml:space="preserve">gathering </w:t>
      </w:r>
      <w:r w:rsidRPr="004C2FC9">
        <w:t>information about uncertainty components from calibration reports or reference material report</w:t>
      </w:r>
    </w:p>
    <w:p w:rsidR="00000000" w:rsidRPr="004C2FC9" w:rsidP="004C2FC9">
      <w:pPr>
        <w:pStyle w:val="ListBullet2"/>
      </w:pPr>
      <w:r w:rsidRPr="004C2FC9">
        <w:t>calculating sensitivity coefficients either experimentally or by partial differentiation</w:t>
      </w:r>
    </w:p>
    <w:p w:rsidR="00000000" w:rsidRPr="004C2FC9" w:rsidP="004C2FC9">
      <w:pPr>
        <w:pStyle w:val="ListBullet2"/>
      </w:pPr>
      <w:r w:rsidRPr="004C2FC9">
        <w:t>reporting results and uncertainties in the required formats.</w:t>
      </w:r>
    </w:p>
    <w:p w:rsidR="00000000" w:rsidRPr="004C2FC9" w:rsidP="004C2FC9">
      <w:pPr>
        <w:pStyle w:val="AllowPageBreak"/>
      </w:pPr>
    </w:p>
    <w:p w:rsidR="00000000" w:rsidRPr="004C2FC9" w:rsidP="004C2FC9">
      <w:pPr>
        <w:pStyle w:val="Heading1"/>
      </w:pPr>
      <w:bookmarkStart w:id="11" w:name="O_970900"/>
      <w:bookmarkEnd w:id="11"/>
      <w:r w:rsidRPr="004C2FC9">
        <w:t>Knowledge Evidence</w:t>
      </w:r>
    </w:p>
    <w:p w:rsidR="00000000" w:rsidRPr="004C2FC9" w:rsidP="00094D9D">
      <w:pPr>
        <w:pStyle w:val="BodyText"/>
      </w:pPr>
      <w:r w:rsidRPr="004C2FC9">
        <w:t>There must be evidence the candidate has knowledge of:</w:t>
      </w:r>
    </w:p>
    <w:p w:rsidR="00000000" w:rsidRPr="004C2FC9" w:rsidP="004C2FC9">
      <w:pPr>
        <w:pStyle w:val="ListBullet"/>
      </w:pPr>
      <w:r w:rsidRPr="004C2FC9">
        <w:t>the steps in the measurement, test or calibration involved</w:t>
      </w:r>
    </w:p>
    <w:p w:rsidR="00000000" w:rsidRPr="004C2FC9" w:rsidP="004C2FC9">
      <w:pPr>
        <w:pStyle w:val="ListBullet"/>
      </w:pPr>
      <w:r w:rsidRPr="004C2FC9">
        <w:t>the difference between errors, corrections and uncertainties</w:t>
      </w:r>
    </w:p>
    <w:p w:rsidR="00000000" w:rsidRPr="004C2FC9" w:rsidP="004C2FC9">
      <w:pPr>
        <w:pStyle w:val="ListBullet"/>
      </w:pPr>
      <w:r w:rsidRPr="004C2FC9">
        <w:t>uncertainty in the uncertainty estimation process</w:t>
      </w:r>
    </w:p>
    <w:p w:rsidR="00000000" w:rsidRPr="004C2FC9" w:rsidP="004C2FC9">
      <w:pPr>
        <w:pStyle w:val="ListBullet"/>
      </w:pPr>
      <w:r w:rsidRPr="004C2FC9">
        <w:t>uncertainty components:</w:t>
      </w:r>
    </w:p>
    <w:p w:rsidR="00000000" w:rsidRPr="004C2FC9" w:rsidP="004C2FC9">
      <w:pPr>
        <w:pStyle w:val="ListBullet2"/>
      </w:pPr>
      <w:r w:rsidRPr="004C2FC9">
        <w:t>calibration uncertainty</w:t>
      </w:r>
    </w:p>
    <w:p w:rsidR="00000000" w:rsidRPr="004C2FC9" w:rsidP="004C2FC9">
      <w:pPr>
        <w:pStyle w:val="ListBullet2"/>
      </w:pPr>
      <w:r w:rsidRPr="004C2FC9">
        <w:t>instability or drift in the calibrated instrument</w:t>
      </w:r>
    </w:p>
    <w:p w:rsidR="00000000" w:rsidRPr="004C2FC9" w:rsidP="004C2FC9">
      <w:pPr>
        <w:pStyle w:val="ListBullet2"/>
      </w:pPr>
      <w:r w:rsidRPr="004C2FC9">
        <w:t>repeatability of the results</w:t>
      </w:r>
    </w:p>
    <w:p w:rsidR="00000000" w:rsidRPr="004C2FC9" w:rsidP="004C2FC9">
      <w:pPr>
        <w:pStyle w:val="ListBullet2"/>
      </w:pPr>
      <w:r w:rsidRPr="004C2FC9">
        <w:t>resolution or readability of the instrument</w:t>
      </w:r>
    </w:p>
    <w:p w:rsidR="00000000" w:rsidRPr="004C2FC9" w:rsidP="004C2FC9">
      <w:pPr>
        <w:pStyle w:val="ListBullet2"/>
      </w:pPr>
      <w:r w:rsidRPr="004C2FC9">
        <w:t>environmental influences, such as temperature, air pressure, humidity, vibration, el</w:t>
      </w:r>
      <w:r w:rsidRPr="004C2FC9">
        <w:t>ectrical noise and gravity</w:t>
      </w:r>
    </w:p>
    <w:p w:rsidR="00000000" w:rsidRPr="004C2FC9" w:rsidP="004C2FC9">
      <w:pPr>
        <w:pStyle w:val="ListBullet2"/>
      </w:pPr>
      <w:r w:rsidRPr="004C2FC9">
        <w:t>reference material uncertainty</w:t>
      </w:r>
    </w:p>
    <w:p w:rsidR="00000000" w:rsidRPr="004C2FC9" w:rsidP="004C2FC9">
      <w:pPr>
        <w:pStyle w:val="ListBullet2"/>
      </w:pPr>
      <w:r w:rsidRPr="004C2FC9">
        <w:t>common to the use of an instrument</w:t>
      </w:r>
    </w:p>
    <w:p w:rsidR="00000000" w:rsidRPr="004C2FC9" w:rsidP="004C2FC9">
      <w:pPr>
        <w:pStyle w:val="ListBullet2"/>
      </w:pPr>
      <w:r w:rsidRPr="004C2FC9">
        <w:t>factors arising from the instrument being used under different conditions to those when it was calibrated</w:t>
      </w:r>
    </w:p>
    <w:p w:rsidR="00000000" w:rsidRPr="004C2FC9" w:rsidP="004C2FC9">
      <w:pPr>
        <w:pStyle w:val="ListBullet2"/>
      </w:pPr>
      <w:r w:rsidRPr="004C2FC9">
        <w:t>factors arising from using an instrument under a differen</w:t>
      </w:r>
      <w:r w:rsidRPr="004C2FC9">
        <w:t>t operating environment or procedures (such as orientation of a transducer and immersion depth of a temperature probe)</w:t>
      </w:r>
    </w:p>
    <w:p w:rsidR="00000000" w:rsidRPr="004C2FC9" w:rsidP="004C2FC9">
      <w:pPr>
        <w:pStyle w:val="ListBullet2"/>
      </w:pPr>
      <w:r w:rsidRPr="004C2FC9">
        <w:t>reproducibility of quality control data</w:t>
      </w:r>
    </w:p>
    <w:p w:rsidR="00000000" w:rsidRPr="004C2FC9" w:rsidP="004C2FC9">
      <w:pPr>
        <w:pStyle w:val="ListBullet"/>
      </w:pPr>
      <w:r w:rsidRPr="004C2FC9">
        <w:t>workplace procedures for:</w:t>
      </w:r>
    </w:p>
    <w:p w:rsidR="00000000" w:rsidRPr="004C2FC9" w:rsidP="004C2FC9">
      <w:pPr>
        <w:pStyle w:val="ListBullet2"/>
      </w:pPr>
      <w:r w:rsidRPr="004C2FC9">
        <w:t>determining the uncertainty components associated with each of the inputs and whether they are significant and for applying appropriate corrections</w:t>
      </w:r>
    </w:p>
    <w:p w:rsidR="00000000" w:rsidRPr="004C2FC9" w:rsidP="004C2FC9">
      <w:pPr>
        <w:pStyle w:val="ListBullet2"/>
      </w:pPr>
      <w:r w:rsidRPr="004C2FC9">
        <w:t>determining uncertainty components from quality control data</w:t>
      </w:r>
    </w:p>
    <w:p w:rsidR="00000000" w:rsidRPr="004C2FC9" w:rsidP="004C2FC9">
      <w:pPr>
        <w:pStyle w:val="ListBullet"/>
      </w:pPr>
      <w:r w:rsidRPr="004C2FC9">
        <w:t>manufacturer</w:t>
      </w:r>
      <w:r>
        <w:t>’</w:t>
      </w:r>
      <w:r w:rsidRPr="004C2FC9">
        <w:t>s specifications (including instr</w:t>
      </w:r>
      <w:r w:rsidRPr="004C2FC9">
        <w:t>ument drift specification and reference materials)</w:t>
      </w:r>
    </w:p>
    <w:p w:rsidR="00000000" w:rsidRPr="004C2FC9" w:rsidP="004C2FC9">
      <w:pPr>
        <w:pStyle w:val="ListBullet"/>
      </w:pPr>
      <w:r w:rsidRPr="004C2FC9">
        <w:t xml:space="preserve">the concept of degrees of freedom </w:t>
      </w:r>
    </w:p>
    <w:p w:rsidR="00000000" w:rsidRPr="004C2FC9" w:rsidP="004C2FC9">
      <w:pPr>
        <w:pStyle w:val="ListBullet"/>
      </w:pPr>
      <w:r w:rsidRPr="004C2FC9">
        <w:t>the characteristics of a valid measurement</w:t>
      </w:r>
    </w:p>
    <w:p w:rsidR="00000000" w:rsidRPr="004C2FC9" w:rsidP="004C2FC9">
      <w:pPr>
        <w:pStyle w:val="ListBullet"/>
      </w:pPr>
      <w:r w:rsidRPr="004C2FC9">
        <w:t>reporting requirements: the uncertainty in measurement (GUM), National Association of Testing Authorities (NATA) or other appli</w:t>
      </w:r>
      <w:r w:rsidRPr="004C2FC9">
        <w:t>cable reference material</w:t>
      </w:r>
    </w:p>
    <w:p w:rsidR="00000000" w:rsidRPr="004C2FC9" w:rsidP="004C2FC9">
      <w:pPr>
        <w:pStyle w:val="ListBullet"/>
      </w:pPr>
      <w:r w:rsidRPr="004C2FC9">
        <w:t>Australian and international standards, codes and guides as they relate to the job role</w:t>
      </w:r>
    </w:p>
    <w:p w:rsidR="00000000" w:rsidRPr="004C2FC9" w:rsidP="004C2FC9">
      <w:pPr>
        <w:pStyle w:val="ListBullet"/>
      </w:pPr>
      <w:r w:rsidRPr="004C2FC9">
        <w:t>legal, ethical and work health and safety (WHS) requirements specific to the work task.</w:t>
      </w:r>
    </w:p>
    <w:p w:rsidR="00000000" w:rsidRPr="004C2FC9" w:rsidP="004C2FC9">
      <w:pPr>
        <w:pStyle w:val="AllowPageBreak"/>
      </w:pPr>
    </w:p>
    <w:p w:rsidR="00000000" w:rsidRPr="004C2FC9" w:rsidP="004C2FC9">
      <w:pPr>
        <w:pStyle w:val="Heading1"/>
      </w:pPr>
      <w:bookmarkStart w:id="12" w:name="O_970899"/>
      <w:bookmarkEnd w:id="12"/>
      <w:r w:rsidRPr="004C2FC9">
        <w:t>Assessment Conditions</w:t>
      </w:r>
    </w:p>
    <w:p w:rsidR="00000000" w:rsidRPr="004C2FC9" w:rsidP="00094D9D">
      <w:pPr>
        <w:pStyle w:val="BodyText"/>
      </w:pPr>
      <w:r w:rsidRPr="004C2FC9">
        <w:t>Skills must have</w:t>
      </w:r>
      <w:r w:rsidRPr="004C2FC9">
        <w:t xml:space="preserve"> been demonstrated in the workplace or in a simulated environment that reflects workplace conditions and contingencies. The following conditions must be met for this unit: </w:t>
      </w:r>
    </w:p>
    <w:p w:rsidR="00000000" w:rsidRPr="004C2FC9" w:rsidP="004C2FC9">
      <w:pPr>
        <w:pStyle w:val="ListBullet"/>
      </w:pPr>
      <w:r w:rsidRPr="004C2FC9">
        <w:t xml:space="preserve">use of suitable facilities, equipment and resources, including: </w:t>
      </w:r>
    </w:p>
    <w:p w:rsidR="00000000" w:rsidRPr="004C2FC9" w:rsidP="004C2FC9">
      <w:pPr>
        <w:pStyle w:val="ListBullet2"/>
      </w:pPr>
      <w:r w:rsidRPr="004C2FC9">
        <w:t>data sets and records</w:t>
      </w:r>
    </w:p>
    <w:p w:rsidR="00000000" w:rsidRPr="004C2FC9" w:rsidP="004C2FC9">
      <w:pPr>
        <w:pStyle w:val="ListBullet2"/>
      </w:pPr>
      <w:r w:rsidRPr="004C2FC9">
        <w:t>test methods and description of test set-up</w:t>
      </w:r>
    </w:p>
    <w:p w:rsidR="00000000" w:rsidRPr="004C2FC9" w:rsidP="004C2FC9">
      <w:pPr>
        <w:pStyle w:val="ListBullet2"/>
      </w:pPr>
      <w:r w:rsidRPr="004C2FC9">
        <w:t>computer and relevant software or laboratory information system</w:t>
      </w:r>
    </w:p>
    <w:p w:rsidR="00000000" w:rsidRPr="004C2FC9" w:rsidP="004C2FC9">
      <w:pPr>
        <w:pStyle w:val="ListBullet2"/>
      </w:pPr>
      <w:r w:rsidRPr="004C2FC9">
        <w:t xml:space="preserve">workplace sampling and test procedures. </w:t>
      </w:r>
    </w:p>
    <w:p w:rsidR="00000000" w:rsidRPr="004C2FC9" w:rsidP="00094D9D">
      <w:pPr>
        <w:pStyle w:val="BodyText"/>
      </w:pPr>
      <w:r w:rsidRPr="004C2FC9">
        <w:br/>
        <w:t>Assessors must satisfy the NVR/AQTF mandatory competency requirements for assessors.</w:t>
      </w:r>
    </w:p>
    <w:p w:rsidR="00000000" w:rsidRPr="004C2FC9" w:rsidP="004C2FC9">
      <w:pPr>
        <w:pStyle w:val="AllowPageBreak"/>
      </w:pPr>
    </w:p>
    <w:p w:rsidR="00000000" w:rsidRPr="004C2FC9" w:rsidP="004C2FC9">
      <w:pPr>
        <w:pStyle w:val="Heading1"/>
      </w:pPr>
      <w:bookmarkStart w:id="13" w:name="O_970897"/>
      <w:bookmarkEnd w:id="13"/>
      <w:r w:rsidRPr="004C2FC9">
        <w:t>Links</w:t>
      </w:r>
    </w:p>
    <w:p w:rsidR="00000000" w:rsidRPr="004C2FC9" w:rsidP="00094D9D">
      <w:pPr>
        <w:pStyle w:val="BodyText"/>
      </w:pPr>
      <w:r w:rsidRPr="004C2FC9">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3204EB">
        <w:rPr>
          <w:rStyle w:val="Hyperlink"/>
        </w:rPr>
        <w:t>https://vetnet.gov.au/Pages/TrainingDocs.aspx?q=5c63a03b-4a6b-4ae5-9560-1e3c5f462baa</w:t>
      </w:r>
      <w:r>
        <w:fldChar w:fldCharType="end"/>
      </w:r>
    </w:p>
    <w:p w:rsidR="00000000" w:rsidRPr="004C2FC9" w:rsidP="004C2FC9"/>
    <w:sectPr w:rsidSect="004C2F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C9" w:rsidRPr="00094D9D" w:rsidP="00094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9D" w:rsidP="004C2F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4D9D" w:rsidP="004C2F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4D9D" w:rsidP="004C2F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C9" w:rsidP="004C2FC9">
    <w:pPr>
      <w:pStyle w:val="Footer"/>
      <w:framePr w:wrap="around"/>
    </w:pPr>
    <w:r>
      <w:fldChar w:fldCharType="begin"/>
    </w:r>
    <w:r>
      <w:instrText xml:space="preserve"> DOCPROPERTY  Subject  \* MERGEFORMAT </w:instrText>
    </w:r>
    <w:r>
      <w:fldChar w:fldCharType="separate"/>
    </w:r>
    <w:r w:rsidR="00094D9D">
      <w:t>Approved</w:t>
    </w:r>
    <w:r w:rsidR="00094D9D">
      <w:fldChar w:fldCharType="end"/>
    </w:r>
    <w:r>
      <w:tab/>
      <w:t xml:space="preserve">Page </w:t>
    </w:r>
    <w:r>
      <w:fldChar w:fldCharType="begin"/>
    </w:r>
    <w:r>
      <w:instrText xml:space="preserve"> PAGE  \* Arabic  \* MERGEFORMAT </w:instrText>
    </w:r>
    <w:r>
      <w:fldChar w:fldCharType="separate"/>
    </w:r>
    <w:r w:rsidR="00094D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4D9D">
      <w:rPr>
        <w:noProof/>
      </w:rPr>
      <w:t>4</w:t>
    </w:r>
    <w:r>
      <w:rPr>
        <w:noProof/>
      </w:rPr>
      <w:fldChar w:fldCharType="end"/>
    </w:r>
  </w:p>
  <w:p w:rsidR="004C2FC9" w:rsidP="004C2FC9">
    <w:pPr>
      <w:pStyle w:val="Footer"/>
      <w:framePr w:wrap="around"/>
    </w:pPr>
    <w:r>
      <w:t xml:space="preserve">© Commonwealth of Australia, </w:t>
    </w:r>
    <w:r>
      <w:fldChar w:fldCharType="begin"/>
    </w:r>
    <w:r>
      <w:instrText xml:space="preserve"> DATE  \@ "yyyy"  \* MERGEFORMAT </w:instrText>
    </w:r>
    <w:r>
      <w:fldChar w:fldCharType="separate"/>
    </w:r>
    <w:r w:rsidR="00094D9D">
      <w:rPr>
        <w:noProof/>
      </w:rPr>
      <w:t>2025</w:t>
    </w:r>
    <w:r>
      <w:fldChar w:fldCharType="end"/>
    </w:r>
    <w:r>
      <w:tab/>
    </w:r>
    <w:r>
      <w:fldChar w:fldCharType="begin"/>
    </w:r>
    <w:r>
      <w:instrText xml:space="preserve"> DOCPROPERTY  Author  \* MERGEFORMAT </w:instrText>
    </w:r>
    <w:r>
      <w:fldChar w:fldCharType="separate"/>
    </w:r>
    <w:r w:rsidR="00094D9D">
      <w:t>Manufacturing Industry Skills Alliance</w:t>
    </w:r>
    <w:r w:rsidR="00094D9D">
      <w:fldChar w:fldCharType="end"/>
    </w:r>
  </w:p>
  <w:p w:rsidR="004C2FC9" w:rsidP="004C2F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FC9" w:rsidRPr="00094D9D" w:rsidP="00094D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D9D" w:rsidRPr="002D2AF8" w:rsidP="004C2FC9">
    <w:pPr>
      <w:pStyle w:val="Header"/>
      <w:framePr w:wrap="around"/>
    </w:pPr>
    <w:r>
      <w:fldChar w:fldCharType="begin"/>
    </w:r>
    <w:r>
      <w:instrText xml:space="preserve"> TITLE   \* MERGEFORMAT </w:instrText>
    </w:r>
    <w:r>
      <w:fldChar w:fldCharType="separate"/>
    </w:r>
    <w:r>
      <w:t>MSL925003 Determine measurements of uncertainty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94D9D" w:rsidP="004C2F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C9" w:rsidRPr="002D2AF8" w:rsidP="004C2FC9">
    <w:pPr>
      <w:pStyle w:val="Header"/>
      <w:framePr w:wrap="around"/>
    </w:pPr>
    <w:r>
      <w:fldChar w:fldCharType="begin"/>
    </w:r>
    <w:r>
      <w:instrText xml:space="preserve"> TITLE   \* MERGEFORMAT </w:instrText>
    </w:r>
    <w:r>
      <w:fldChar w:fldCharType="separate"/>
    </w:r>
    <w:r w:rsidR="00094D9D">
      <w:t>MSL925003 Determine measurements of uncertainty</w:t>
    </w:r>
    <w:r w:rsidR="00094D9D">
      <w:fldChar w:fldCharType="end"/>
    </w:r>
    <w:r>
      <w:tab/>
      <w:t xml:space="preserve">Date this document was generated: </w:t>
    </w:r>
    <w:r>
      <w:fldChar w:fldCharType="begin"/>
    </w:r>
    <w:r>
      <w:instrText xml:space="preserve"> CREATEDATE  \@ "d MMMM yyyy"  \* MERGEFORMAT </w:instrText>
    </w:r>
    <w:r>
      <w:fldChar w:fldCharType="separate"/>
    </w:r>
    <w:r w:rsidR="00094D9D">
      <w:rPr>
        <w:noProof/>
      </w:rPr>
      <w:t>1 March 2025</w:t>
    </w:r>
    <w:r>
      <w:fldChar w:fldCharType="end"/>
    </w:r>
  </w:p>
  <w:p w:rsidR="004C2FC9" w:rsidP="004C2F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3656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FCD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9A85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F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FC9"/>
    <w:pPr>
      <w:spacing w:before="360" w:after="60"/>
      <w:outlineLvl w:val="0"/>
    </w:pPr>
    <w:rPr>
      <w:sz w:val="32"/>
    </w:rPr>
  </w:style>
  <w:style w:type="paragraph" w:styleId="Heading2">
    <w:name w:val="heading 2"/>
    <w:basedOn w:val="HeadingBase"/>
    <w:next w:val="BodyText"/>
    <w:link w:val="Heading2Char"/>
    <w:qFormat/>
    <w:rsid w:val="004C2FC9"/>
    <w:pPr>
      <w:keepLines/>
      <w:spacing w:before="240" w:after="120"/>
      <w:outlineLvl w:val="1"/>
    </w:pPr>
    <w:rPr>
      <w:sz w:val="28"/>
      <w:szCs w:val="40"/>
    </w:rPr>
  </w:style>
  <w:style w:type="paragraph" w:styleId="Heading3">
    <w:name w:val="heading 3"/>
    <w:basedOn w:val="HeadingBase"/>
    <w:next w:val="BodyText"/>
    <w:link w:val="Heading3Char"/>
    <w:qFormat/>
    <w:rsid w:val="004C2FC9"/>
    <w:pPr>
      <w:spacing w:before="180" w:after="120"/>
      <w:outlineLvl w:val="2"/>
    </w:pPr>
    <w:rPr>
      <w:spacing w:val="-10"/>
      <w:kern w:val="32"/>
    </w:rPr>
  </w:style>
  <w:style w:type="paragraph" w:styleId="Heading4">
    <w:name w:val="heading 4"/>
    <w:basedOn w:val="HeadingBase"/>
    <w:next w:val="BodyText"/>
    <w:link w:val="Heading4Char"/>
    <w:qFormat/>
    <w:rsid w:val="004C2FC9"/>
    <w:pPr>
      <w:spacing w:before="160" w:after="120"/>
      <w:outlineLvl w:val="3"/>
    </w:pPr>
    <w:rPr>
      <w:sz w:val="22"/>
    </w:rPr>
  </w:style>
  <w:style w:type="paragraph" w:styleId="Heading5">
    <w:name w:val="heading 5"/>
    <w:basedOn w:val="HeadingBase"/>
    <w:next w:val="Normal"/>
    <w:link w:val="Heading5Char"/>
    <w:qFormat/>
    <w:rsid w:val="004C2FC9"/>
    <w:pPr>
      <w:spacing w:before="80"/>
      <w:outlineLvl w:val="4"/>
    </w:pPr>
    <w:rPr>
      <w:color w:val="918585"/>
      <w:sz w:val="20"/>
    </w:rPr>
  </w:style>
  <w:style w:type="paragraph" w:styleId="Heading6">
    <w:name w:val="heading 6"/>
    <w:basedOn w:val="HeadingBase"/>
    <w:next w:val="Normal"/>
    <w:link w:val="Heading6Char"/>
    <w:qFormat/>
    <w:rsid w:val="004C2FC9"/>
    <w:pPr>
      <w:spacing w:before="60"/>
      <w:outlineLvl w:val="5"/>
    </w:pPr>
    <w:rPr>
      <w:color w:val="918585"/>
      <w:sz w:val="20"/>
    </w:rPr>
  </w:style>
  <w:style w:type="paragraph" w:styleId="Heading7">
    <w:name w:val="heading 7"/>
    <w:basedOn w:val="Normal"/>
    <w:next w:val="Normal"/>
    <w:link w:val="Heading7Char"/>
    <w:qFormat/>
    <w:rsid w:val="004C2FC9"/>
    <w:pPr>
      <w:ind w:left="720"/>
      <w:outlineLvl w:val="6"/>
    </w:pPr>
    <w:rPr>
      <w:i/>
    </w:rPr>
  </w:style>
  <w:style w:type="paragraph" w:styleId="Heading8">
    <w:name w:val="heading 8"/>
    <w:basedOn w:val="Normal"/>
    <w:next w:val="Normal"/>
    <w:link w:val="Heading8Char"/>
    <w:qFormat/>
    <w:rsid w:val="004C2FC9"/>
    <w:pPr>
      <w:ind w:left="720"/>
      <w:outlineLvl w:val="7"/>
    </w:pPr>
    <w:rPr>
      <w:i/>
    </w:rPr>
  </w:style>
  <w:style w:type="paragraph" w:styleId="Heading9">
    <w:name w:val="heading 9"/>
    <w:basedOn w:val="Normal"/>
    <w:next w:val="Normal"/>
    <w:link w:val="Heading9Char"/>
    <w:qFormat/>
    <w:rsid w:val="004C2FC9"/>
    <w:pPr>
      <w:ind w:left="720"/>
      <w:outlineLvl w:val="8"/>
    </w:pPr>
    <w:rPr>
      <w:i/>
    </w:rPr>
  </w:style>
  <w:style w:type="character" w:default="1" w:styleId="DefaultParagraphFont">
    <w:name w:val="Default Paragraph Font"/>
    <w:uiPriority w:val="1"/>
    <w:unhideWhenUsed/>
    <w:rsid w:val="004C2F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FC9"/>
  </w:style>
  <w:style w:type="character" w:customStyle="1" w:styleId="Heading1Char">
    <w:name w:val="Heading 1 Char"/>
    <w:basedOn w:val="DefaultParagraphFont"/>
    <w:link w:val="Heading1"/>
    <w:rsid w:val="004C2FC9"/>
    <w:rPr>
      <w:rFonts w:ascii="Times New Roman" w:eastAsia="Times New Roman" w:hAnsi="Times New Roman" w:cs="Times New Roman"/>
      <w:b/>
      <w:sz w:val="32"/>
      <w:szCs w:val="20"/>
      <w:lang w:eastAsia="en-US"/>
    </w:rPr>
  </w:style>
  <w:style w:type="paragraph" w:styleId="BodyText">
    <w:name w:val="Body Text"/>
    <w:basedOn w:val="Normal"/>
    <w:link w:val="BodyTextChar"/>
    <w:rsid w:val="004C2F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FC9"/>
    <w:rPr>
      <w:rFonts w:ascii="Times New Roman" w:eastAsia="Times New Roman" w:hAnsi="Times New Roman" w:cs="Times New Roman"/>
      <w:sz w:val="24"/>
      <w:lang w:eastAsia="en-US"/>
    </w:rPr>
  </w:style>
  <w:style w:type="paragraph" w:styleId="ListBullet">
    <w:name w:val="List Bullet"/>
    <w:basedOn w:val="List"/>
    <w:rsid w:val="004C2FC9"/>
    <w:pPr>
      <w:numPr>
        <w:numId w:val="12"/>
      </w:numPr>
      <w:tabs>
        <w:tab w:val="clear" w:pos="340"/>
      </w:tabs>
      <w:spacing w:before="40" w:after="40"/>
    </w:pPr>
  </w:style>
  <w:style w:type="character" w:customStyle="1" w:styleId="SpecialBold">
    <w:name w:val="Special Bold"/>
    <w:basedOn w:val="DefaultParagraphFont"/>
    <w:rsid w:val="004C2FC9"/>
    <w:rPr>
      <w:b/>
      <w:spacing w:val="0"/>
    </w:rPr>
  </w:style>
  <w:style w:type="paragraph" w:styleId="ListBullet2">
    <w:name w:val="List Bullet 2"/>
    <w:basedOn w:val="List2"/>
    <w:rsid w:val="004C2FC9"/>
    <w:pPr>
      <w:numPr>
        <w:numId w:val="13"/>
      </w:numPr>
      <w:tabs>
        <w:tab w:val="clear" w:pos="680"/>
      </w:tabs>
    </w:pPr>
  </w:style>
  <w:style w:type="character" w:styleId="Emphasis">
    <w:name w:val="Emphasis"/>
    <w:basedOn w:val="DefaultParagraphFont"/>
    <w:qFormat/>
    <w:rsid w:val="004C2FC9"/>
    <w:rPr>
      <w:i/>
    </w:rPr>
  </w:style>
  <w:style w:type="paragraph" w:customStyle="1" w:styleId="SuperHeading">
    <w:name w:val="SuperHeading"/>
    <w:basedOn w:val="Normal"/>
    <w:rsid w:val="004C2FC9"/>
    <w:pPr>
      <w:spacing w:before="240" w:after="120"/>
      <w:outlineLvl w:val="0"/>
    </w:pPr>
    <w:rPr>
      <w:rFonts w:ascii="Times New Roman" w:hAnsi="Times New Roman"/>
      <w:b/>
      <w:sz w:val="32"/>
    </w:rPr>
  </w:style>
  <w:style w:type="paragraph" w:customStyle="1" w:styleId="AllowPageBreak">
    <w:name w:val="AllowPageBreak"/>
    <w:rsid w:val="004C2F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F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F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F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F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F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F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F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FC9"/>
    <w:rPr>
      <w:rFonts w:ascii="Courier New" w:eastAsia="Times New Roman" w:hAnsi="Courier New" w:cs="Times New Roman"/>
      <w:i/>
      <w:szCs w:val="20"/>
      <w:lang w:eastAsia="en-US"/>
    </w:rPr>
  </w:style>
  <w:style w:type="paragraph" w:customStyle="1" w:styleId="HeadingBase">
    <w:name w:val="Heading Base"/>
    <w:rsid w:val="004C2F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FC9"/>
    <w:pPr>
      <w:tabs>
        <w:tab w:val="right" w:leader="dot" w:pos="9072"/>
      </w:tabs>
      <w:ind w:left="567"/>
    </w:pPr>
    <w:rPr>
      <w:szCs w:val="22"/>
    </w:rPr>
  </w:style>
  <w:style w:type="paragraph" w:customStyle="1" w:styleId="TOCBase">
    <w:name w:val="TOC Base"/>
    <w:rsid w:val="004C2F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FC9"/>
    <w:pPr>
      <w:tabs>
        <w:tab w:val="right" w:leader="dot" w:pos="9072"/>
      </w:tabs>
      <w:spacing w:before="40" w:after="40"/>
      <w:ind w:left="284"/>
    </w:pPr>
    <w:rPr>
      <w:rFonts w:ascii="Times New Roman" w:hAnsi="Times New Roman"/>
    </w:rPr>
  </w:style>
  <w:style w:type="paragraph" w:styleId="TOC1">
    <w:name w:val="toc 1"/>
    <w:basedOn w:val="TOCBase"/>
    <w:next w:val="Normal"/>
    <w:rsid w:val="004C2F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F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FC9"/>
    <w:rPr>
      <w:rFonts w:ascii="Times New Roman" w:eastAsia="Times New Roman" w:hAnsi="Times New Roman" w:cs="Times New Roman"/>
      <w:sz w:val="16"/>
      <w:lang w:eastAsia="en-US"/>
    </w:rPr>
  </w:style>
  <w:style w:type="paragraph" w:styleId="Title">
    <w:name w:val="Title"/>
    <w:basedOn w:val="HeadingBase"/>
    <w:link w:val="TitleChar"/>
    <w:qFormat/>
    <w:rsid w:val="004C2FC9"/>
    <w:pPr>
      <w:spacing w:before="5040"/>
      <w:jc w:val="center"/>
    </w:pPr>
    <w:rPr>
      <w:sz w:val="48"/>
      <w:szCs w:val="72"/>
      <w:lang w:val="en-US"/>
    </w:rPr>
  </w:style>
  <w:style w:type="character" w:customStyle="1" w:styleId="TitleChar">
    <w:name w:val="Title Char"/>
    <w:basedOn w:val="DefaultParagraphFont"/>
    <w:link w:val="Title"/>
    <w:rsid w:val="004C2F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FC9"/>
    <w:pPr>
      <w:tabs>
        <w:tab w:val="left" w:pos="3600"/>
        <w:tab w:val="left" w:pos="3958"/>
      </w:tabs>
    </w:pPr>
  </w:style>
  <w:style w:type="paragraph" w:styleId="List">
    <w:name w:val="List"/>
    <w:basedOn w:val="BodyText"/>
    <w:next w:val="BodyText"/>
    <w:rsid w:val="004C2FC9"/>
    <w:pPr>
      <w:tabs>
        <w:tab w:val="left" w:pos="340"/>
      </w:tabs>
      <w:spacing w:before="60" w:after="60"/>
      <w:ind w:left="340" w:hanging="340"/>
    </w:pPr>
  </w:style>
  <w:style w:type="paragraph" w:customStyle="1" w:styleId="Note">
    <w:name w:val="Note"/>
    <w:basedOn w:val="BodyText"/>
    <w:rsid w:val="004C2F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FC9"/>
    <w:pPr>
      <w:framePr w:wrap="auto" w:hAnchor="text" w:y="6049"/>
    </w:pPr>
    <w:rPr>
      <w:color w:val="000000"/>
      <w:sz w:val="40"/>
    </w:rPr>
  </w:style>
  <w:style w:type="paragraph" w:customStyle="1" w:styleId="TOCTitle">
    <w:name w:val="TOCTitle"/>
    <w:basedOn w:val="Heading1"/>
    <w:rsid w:val="004C2FC9"/>
    <w:pPr>
      <w:spacing w:after="240"/>
      <w:jc w:val="center"/>
      <w:outlineLvl w:val="9"/>
    </w:pPr>
    <w:rPr>
      <w:caps/>
    </w:rPr>
  </w:style>
  <w:style w:type="paragraph" w:customStyle="1" w:styleId="Version">
    <w:name w:val="Version"/>
    <w:rsid w:val="004C2F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FC9"/>
    <w:pPr>
      <w:keepNext w:val="0"/>
      <w:tabs>
        <w:tab w:val="right" w:pos="4176"/>
      </w:tabs>
      <w:ind w:left="198" w:hanging="198"/>
    </w:pPr>
    <w:rPr>
      <w:rFonts w:ascii="Garamond" w:hAnsi="Garamond"/>
    </w:rPr>
  </w:style>
  <w:style w:type="paragraph" w:styleId="IndexHeading">
    <w:name w:val="index heading"/>
    <w:basedOn w:val="Normal"/>
    <w:next w:val="Index1"/>
    <w:semiHidden/>
    <w:rsid w:val="004C2FC9"/>
    <w:pPr>
      <w:spacing w:before="120" w:after="120"/>
    </w:pPr>
    <w:rPr>
      <w:rFonts w:ascii="Arial" w:hAnsi="Arial"/>
      <w:b/>
      <w:color w:val="918585"/>
      <w:sz w:val="24"/>
    </w:rPr>
  </w:style>
  <w:style w:type="paragraph" w:styleId="Header">
    <w:name w:val="header"/>
    <w:basedOn w:val="Normal"/>
    <w:link w:val="HeaderChar"/>
    <w:rsid w:val="004C2F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FC9"/>
    <w:rPr>
      <w:rFonts w:ascii="Times New Roman" w:eastAsia="Times New Roman" w:hAnsi="Times New Roman" w:cs="Times New Roman"/>
      <w:sz w:val="16"/>
      <w:szCs w:val="20"/>
      <w:lang w:val="en-GB" w:eastAsia="en-US"/>
    </w:rPr>
  </w:style>
  <w:style w:type="paragraph" w:customStyle="1" w:styleId="Chapter">
    <w:name w:val="Chapter"/>
    <w:basedOn w:val="Normal"/>
    <w:rsid w:val="004C2FC9"/>
    <w:pPr>
      <w:spacing w:before="240"/>
    </w:pPr>
    <w:rPr>
      <w:rFonts w:ascii="Times New Roman" w:hAnsi="Times New Roman"/>
      <w:smallCaps/>
      <w:spacing w:val="80"/>
      <w:sz w:val="28"/>
    </w:rPr>
  </w:style>
  <w:style w:type="paragraph" w:customStyle="1" w:styleId="InChapter">
    <w:name w:val="InChapter"/>
    <w:basedOn w:val="Heading3"/>
    <w:rsid w:val="004C2FC9"/>
    <w:pPr>
      <w:spacing w:after="240"/>
      <w:outlineLvl w:val="9"/>
    </w:pPr>
    <w:rPr>
      <w:noProof/>
    </w:rPr>
  </w:style>
  <w:style w:type="paragraph" w:styleId="Index2">
    <w:name w:val="index 2"/>
    <w:basedOn w:val="Normal"/>
    <w:next w:val="Normal"/>
    <w:semiHidden/>
    <w:rsid w:val="004C2FC9"/>
    <w:pPr>
      <w:tabs>
        <w:tab w:val="right" w:pos="4176"/>
      </w:tabs>
      <w:ind w:left="568" w:hanging="284"/>
    </w:pPr>
    <w:rPr>
      <w:rFonts w:ascii="Garamond" w:hAnsi="Garamond"/>
    </w:rPr>
  </w:style>
  <w:style w:type="paragraph" w:customStyle="1" w:styleId="Byline">
    <w:name w:val="Byline"/>
    <w:rsid w:val="004C2F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FC9"/>
    <w:pPr>
      <w:tabs>
        <w:tab w:val="clear" w:pos="3600"/>
        <w:tab w:val="clear" w:pos="3958"/>
      </w:tabs>
      <w:jc w:val="right"/>
    </w:pPr>
  </w:style>
  <w:style w:type="paragraph" w:styleId="Caption">
    <w:name w:val="caption"/>
    <w:basedOn w:val="BodyText"/>
    <w:next w:val="Normal"/>
    <w:qFormat/>
    <w:rsid w:val="004C2FC9"/>
    <w:pPr>
      <w:framePr w:w="2268" w:hSpace="181" w:vSpace="181" w:wrap="around" w:vAnchor="text" w:hAnchor="page" w:x="1135" w:y="285" w:anchorLock="1"/>
    </w:pPr>
    <w:rPr>
      <w:i/>
    </w:rPr>
  </w:style>
  <w:style w:type="paragraph" w:customStyle="1" w:styleId="MiniTOCTitle">
    <w:name w:val="MiniTOCTitle"/>
    <w:basedOn w:val="Heading4"/>
    <w:rsid w:val="004C2FC9"/>
    <w:pPr>
      <w:spacing w:before="240"/>
      <w:outlineLvl w:val="9"/>
    </w:pPr>
    <w:rPr>
      <w:noProof/>
      <w:sz w:val="24"/>
    </w:rPr>
  </w:style>
  <w:style w:type="paragraph" w:customStyle="1" w:styleId="MiniTOCItem">
    <w:name w:val="MiniTOCItem"/>
    <w:basedOn w:val="ListBullet"/>
    <w:rsid w:val="004C2FC9"/>
    <w:pPr>
      <w:numPr>
        <w:numId w:val="0"/>
      </w:numPr>
      <w:tabs>
        <w:tab w:val="right" w:leader="dot" w:pos="6521"/>
      </w:tabs>
      <w:spacing w:before="0" w:after="0"/>
    </w:pPr>
  </w:style>
  <w:style w:type="paragraph" w:customStyle="1" w:styleId="TOFTitle">
    <w:name w:val="TOFTitle"/>
    <w:basedOn w:val="TOCTitle"/>
    <w:rsid w:val="004C2FC9"/>
  </w:style>
  <w:style w:type="paragraph" w:styleId="TableofFigures">
    <w:name w:val="table of figures"/>
    <w:basedOn w:val="Normal"/>
    <w:next w:val="Normal"/>
    <w:semiHidden/>
    <w:rsid w:val="004C2FC9"/>
    <w:pPr>
      <w:tabs>
        <w:tab w:val="right" w:leader="dot" w:pos="9072"/>
      </w:tabs>
      <w:ind w:left="970" w:hanging="403"/>
    </w:pPr>
    <w:rPr>
      <w:rFonts w:ascii="Times New Roman" w:hAnsi="Times New Roman"/>
      <w:b/>
    </w:rPr>
  </w:style>
  <w:style w:type="paragraph" w:styleId="ListNumber">
    <w:name w:val="List Number"/>
    <w:basedOn w:val="List"/>
    <w:rsid w:val="004C2FC9"/>
    <w:pPr>
      <w:numPr>
        <w:numId w:val="15"/>
      </w:numPr>
      <w:tabs>
        <w:tab w:val="clear" w:pos="340"/>
      </w:tabs>
    </w:pPr>
  </w:style>
  <w:style w:type="character" w:customStyle="1" w:styleId="WingdingSymbols">
    <w:name w:val="Wingding Symbols"/>
    <w:rsid w:val="004C2FC9"/>
    <w:rPr>
      <w:rFonts w:ascii="Wingdings" w:hAnsi="Wingdings"/>
    </w:rPr>
  </w:style>
  <w:style w:type="paragraph" w:customStyle="1" w:styleId="TableHeading">
    <w:name w:val="Table Heading"/>
    <w:basedOn w:val="HeadingBase"/>
    <w:rsid w:val="004C2FC9"/>
    <w:pPr>
      <w:keepLines/>
      <w:pBdr>
        <w:bottom w:val="single" w:sz="6" w:space="1" w:color="918585"/>
      </w:pBdr>
      <w:spacing w:before="240"/>
    </w:pPr>
  </w:style>
  <w:style w:type="character" w:customStyle="1" w:styleId="HotSpot">
    <w:name w:val="HotSpot"/>
    <w:rsid w:val="004C2FC9"/>
    <w:rPr>
      <w:color w:val="0033CC"/>
      <w:u w:val="none"/>
    </w:rPr>
  </w:style>
  <w:style w:type="paragraph" w:customStyle="1" w:styleId="BodyTextRight">
    <w:name w:val="Body Text Right"/>
    <w:basedOn w:val="BodyText"/>
    <w:rsid w:val="004C2FC9"/>
    <w:pPr>
      <w:spacing w:before="0" w:after="0"/>
      <w:jc w:val="right"/>
    </w:pPr>
  </w:style>
  <w:style w:type="paragraph" w:styleId="Index3">
    <w:name w:val="index 3"/>
    <w:basedOn w:val="ListNumber2"/>
    <w:next w:val="Normal"/>
    <w:semiHidden/>
    <w:rsid w:val="004C2FC9"/>
    <w:pPr>
      <w:numPr>
        <w:numId w:val="0"/>
      </w:numPr>
      <w:tabs>
        <w:tab w:val="right" w:leader="dot" w:pos="4176"/>
      </w:tabs>
    </w:pPr>
  </w:style>
  <w:style w:type="paragraph" w:styleId="ListNumber2">
    <w:name w:val="List Number 2"/>
    <w:basedOn w:val="List2"/>
    <w:rsid w:val="004C2FC9"/>
    <w:pPr>
      <w:numPr>
        <w:numId w:val="10"/>
      </w:numPr>
      <w:tabs>
        <w:tab w:val="clear" w:pos="1060"/>
      </w:tabs>
    </w:pPr>
  </w:style>
  <w:style w:type="paragraph" w:customStyle="1" w:styleId="MarginNote">
    <w:name w:val="Margin Note"/>
    <w:basedOn w:val="BodyText"/>
    <w:rsid w:val="004C2F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F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F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FC9"/>
    <w:rPr>
      <w:sz w:val="32"/>
    </w:rPr>
  </w:style>
  <w:style w:type="paragraph" w:customStyle="1" w:styleId="HeadingProcedure">
    <w:name w:val="Heading Procedure"/>
    <w:basedOn w:val="HeadingBase"/>
    <w:next w:val="Normal"/>
    <w:rsid w:val="004C2FC9"/>
    <w:pPr>
      <w:tabs>
        <w:tab w:val="left" w:pos="0"/>
      </w:tabs>
      <w:spacing w:before="120" w:after="60"/>
    </w:pPr>
    <w:rPr>
      <w:i/>
      <w:color w:val="918585"/>
      <w:sz w:val="22"/>
    </w:rPr>
  </w:style>
  <w:style w:type="paragraph" w:customStyle="1" w:styleId="TableBodyText">
    <w:name w:val="Table Body Text"/>
    <w:basedOn w:val="BodyText"/>
    <w:rsid w:val="004C2FC9"/>
    <w:pPr>
      <w:spacing w:before="60" w:after="60"/>
    </w:pPr>
  </w:style>
  <w:style w:type="paragraph" w:styleId="ListContinue">
    <w:name w:val="List Continue"/>
    <w:basedOn w:val="List"/>
    <w:rsid w:val="004C2FC9"/>
    <w:pPr>
      <w:ind w:firstLine="0"/>
    </w:pPr>
  </w:style>
  <w:style w:type="paragraph" w:customStyle="1" w:styleId="ListNote">
    <w:name w:val="List Note"/>
    <w:basedOn w:val="List"/>
    <w:rsid w:val="004C2FC9"/>
    <w:pPr>
      <w:pBdr>
        <w:top w:val="single" w:sz="6" w:space="2" w:color="918585"/>
        <w:bottom w:val="single" w:sz="6" w:space="2" w:color="918585"/>
      </w:pBdr>
      <w:tabs>
        <w:tab w:val="left" w:pos="1021"/>
      </w:tabs>
      <w:ind w:firstLine="0"/>
    </w:pPr>
  </w:style>
  <w:style w:type="paragraph" w:customStyle="1" w:styleId="Warning">
    <w:name w:val="Warning"/>
    <w:basedOn w:val="BodyText"/>
    <w:rsid w:val="004C2FC9"/>
    <w:pPr>
      <w:shd w:val="clear" w:color="auto" w:fill="D9D9D9"/>
      <w:tabs>
        <w:tab w:val="left" w:pos="992"/>
      </w:tabs>
      <w:ind w:left="119" w:right="119"/>
    </w:pPr>
    <w:rPr>
      <w:sz w:val="20"/>
    </w:rPr>
  </w:style>
  <w:style w:type="paragraph" w:customStyle="1" w:styleId="MarginIcons">
    <w:name w:val="Margin Icons"/>
    <w:basedOn w:val="BodyText"/>
    <w:rsid w:val="004C2F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FC9"/>
    <w:rPr>
      <w:rFonts w:ascii="Courier New" w:hAnsi="Courier New"/>
    </w:rPr>
  </w:style>
  <w:style w:type="paragraph" w:customStyle="1" w:styleId="NoteBullet">
    <w:name w:val="Note Bullet"/>
    <w:basedOn w:val="Note"/>
    <w:rsid w:val="004C2FC9"/>
    <w:pPr>
      <w:tabs>
        <w:tab w:val="clear" w:pos="680"/>
      </w:tabs>
      <w:spacing w:before="60" w:after="60"/>
    </w:pPr>
  </w:style>
  <w:style w:type="paragraph" w:customStyle="1" w:styleId="SubHeading2">
    <w:name w:val="SubHeading2"/>
    <w:basedOn w:val="HeadingBase"/>
    <w:rsid w:val="004C2FC9"/>
    <w:pPr>
      <w:spacing w:before="240" w:after="60"/>
    </w:pPr>
    <w:rPr>
      <w:sz w:val="20"/>
    </w:rPr>
  </w:style>
  <w:style w:type="paragraph" w:customStyle="1" w:styleId="SubHeading1">
    <w:name w:val="SubHeading1"/>
    <w:basedOn w:val="HeadingBase"/>
    <w:rsid w:val="004C2FC9"/>
    <w:pPr>
      <w:spacing w:before="240" w:after="60"/>
    </w:pPr>
    <w:rPr>
      <w:color w:val="918585"/>
      <w:sz w:val="22"/>
    </w:rPr>
  </w:style>
  <w:style w:type="paragraph" w:customStyle="1" w:styleId="SideHeading">
    <w:name w:val="Side Heading"/>
    <w:basedOn w:val="HeadingBase"/>
    <w:rsid w:val="004C2F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FC9"/>
    <w:pPr>
      <w:tabs>
        <w:tab w:val="num" w:pos="360"/>
      </w:tabs>
    </w:pPr>
  </w:style>
  <w:style w:type="paragraph" w:styleId="PlainText">
    <w:name w:val="Plain Text"/>
    <w:basedOn w:val="Normal"/>
    <w:link w:val="PlainTextChar"/>
    <w:rsid w:val="004C2FC9"/>
    <w:rPr>
      <w:sz w:val="20"/>
    </w:rPr>
  </w:style>
  <w:style w:type="character" w:customStyle="1" w:styleId="PlainTextChar">
    <w:name w:val="Plain Text Char"/>
    <w:basedOn w:val="DefaultParagraphFont"/>
    <w:link w:val="PlainText"/>
    <w:rsid w:val="004C2FC9"/>
    <w:rPr>
      <w:rFonts w:ascii="Courier New" w:eastAsia="Times New Roman" w:hAnsi="Courier New" w:cs="Times New Roman"/>
      <w:sz w:val="20"/>
      <w:szCs w:val="20"/>
      <w:lang w:eastAsia="en-US"/>
    </w:rPr>
  </w:style>
  <w:style w:type="character" w:customStyle="1" w:styleId="MenuOption">
    <w:name w:val="Menu Option"/>
    <w:basedOn w:val="DefaultParagraphFont"/>
    <w:rsid w:val="004C2FC9"/>
    <w:rPr>
      <w:b/>
      <w:smallCaps/>
    </w:rPr>
  </w:style>
  <w:style w:type="paragraph" w:customStyle="1" w:styleId="TableListNumber">
    <w:name w:val="Table List Number"/>
    <w:basedOn w:val="ListNumber"/>
    <w:rsid w:val="004C2FC9"/>
    <w:pPr>
      <w:numPr>
        <w:numId w:val="0"/>
      </w:numPr>
    </w:pPr>
  </w:style>
  <w:style w:type="paragraph" w:styleId="TOC4">
    <w:name w:val="toc 4"/>
    <w:basedOn w:val="TOCBase"/>
    <w:next w:val="Normal"/>
    <w:semiHidden/>
    <w:rsid w:val="004C2FC9"/>
    <w:pPr>
      <w:tabs>
        <w:tab w:val="right" w:leader="dot" w:pos="9071"/>
      </w:tabs>
      <w:ind w:left="1701"/>
    </w:pPr>
  </w:style>
  <w:style w:type="paragraph" w:customStyle="1" w:styleId="ListAlpha">
    <w:name w:val="List Alpha"/>
    <w:basedOn w:val="List"/>
    <w:rsid w:val="004C2FC9"/>
    <w:pPr>
      <w:numPr>
        <w:numId w:val="9"/>
      </w:numPr>
    </w:pPr>
  </w:style>
  <w:style w:type="paragraph" w:customStyle="1" w:styleId="ListAlpha2">
    <w:name w:val="List Alpha 2"/>
    <w:basedOn w:val="List2"/>
    <w:rsid w:val="004C2FC9"/>
    <w:pPr>
      <w:numPr>
        <w:numId w:val="8"/>
      </w:numPr>
    </w:pPr>
  </w:style>
  <w:style w:type="paragraph" w:styleId="List2">
    <w:name w:val="List 2"/>
    <w:basedOn w:val="BodyText"/>
    <w:rsid w:val="004C2FC9"/>
    <w:pPr>
      <w:tabs>
        <w:tab w:val="left" w:pos="680"/>
      </w:tabs>
      <w:spacing w:before="60" w:after="60"/>
      <w:ind w:left="680" w:hanging="340"/>
    </w:pPr>
  </w:style>
  <w:style w:type="paragraph" w:styleId="List3">
    <w:name w:val="List 3"/>
    <w:basedOn w:val="BodyText"/>
    <w:rsid w:val="004C2FC9"/>
    <w:pPr>
      <w:tabs>
        <w:tab w:val="left" w:pos="1021"/>
      </w:tabs>
      <w:spacing w:before="60" w:after="60"/>
      <w:ind w:left="1020" w:hanging="340"/>
    </w:pPr>
  </w:style>
  <w:style w:type="paragraph" w:styleId="List4">
    <w:name w:val="List 4"/>
    <w:basedOn w:val="BodyText"/>
    <w:rsid w:val="004C2FC9"/>
    <w:pPr>
      <w:tabs>
        <w:tab w:val="left" w:pos="1361"/>
      </w:tabs>
      <w:spacing w:before="60" w:after="60"/>
      <w:ind w:left="1361" w:hanging="340"/>
    </w:pPr>
  </w:style>
  <w:style w:type="paragraph" w:styleId="List5">
    <w:name w:val="List 5"/>
    <w:basedOn w:val="BodyText"/>
    <w:rsid w:val="004C2FC9"/>
    <w:pPr>
      <w:tabs>
        <w:tab w:val="left" w:pos="1701"/>
      </w:tabs>
      <w:spacing w:before="60" w:after="60"/>
      <w:ind w:left="1701" w:hanging="340"/>
    </w:pPr>
  </w:style>
  <w:style w:type="paragraph" w:styleId="ListBullet3">
    <w:name w:val="List Bullet 3"/>
    <w:basedOn w:val="List3"/>
    <w:rsid w:val="004C2FC9"/>
    <w:pPr>
      <w:numPr>
        <w:numId w:val="14"/>
      </w:numPr>
      <w:tabs>
        <w:tab w:val="clear" w:pos="1021"/>
      </w:tabs>
      <w:ind w:left="1037" w:hanging="357"/>
    </w:pPr>
  </w:style>
  <w:style w:type="paragraph" w:styleId="ListBullet4">
    <w:name w:val="List Bullet 4"/>
    <w:basedOn w:val="List4"/>
    <w:rsid w:val="004C2FC9"/>
    <w:pPr>
      <w:numPr>
        <w:numId w:val="3"/>
      </w:numPr>
      <w:tabs>
        <w:tab w:val="clear" w:pos="1361"/>
      </w:tabs>
    </w:pPr>
  </w:style>
  <w:style w:type="paragraph" w:styleId="ListBullet5">
    <w:name w:val="List Bullet 5"/>
    <w:basedOn w:val="List5"/>
    <w:rsid w:val="004C2FC9"/>
    <w:pPr>
      <w:numPr>
        <w:numId w:val="4"/>
      </w:numPr>
    </w:pPr>
  </w:style>
  <w:style w:type="paragraph" w:styleId="ListContinue2">
    <w:name w:val="List Continue 2"/>
    <w:basedOn w:val="List2"/>
    <w:rsid w:val="004C2FC9"/>
    <w:pPr>
      <w:ind w:firstLine="0"/>
    </w:pPr>
  </w:style>
  <w:style w:type="paragraph" w:styleId="ListContinue3">
    <w:name w:val="List Continue 3"/>
    <w:basedOn w:val="List3"/>
    <w:rsid w:val="004C2FC9"/>
    <w:pPr>
      <w:ind w:left="1021" w:firstLine="0"/>
    </w:pPr>
  </w:style>
  <w:style w:type="paragraph" w:styleId="ListContinue4">
    <w:name w:val="List Continue 4"/>
    <w:basedOn w:val="List4"/>
    <w:rsid w:val="004C2FC9"/>
    <w:pPr>
      <w:ind w:firstLine="0"/>
    </w:pPr>
  </w:style>
  <w:style w:type="paragraph" w:styleId="ListContinue5">
    <w:name w:val="List Continue 5"/>
    <w:basedOn w:val="List5"/>
    <w:rsid w:val="004C2FC9"/>
    <w:pPr>
      <w:ind w:firstLine="0"/>
    </w:pPr>
  </w:style>
  <w:style w:type="paragraph" w:styleId="ListNumber3">
    <w:name w:val="List Number 3"/>
    <w:basedOn w:val="List3"/>
    <w:rsid w:val="004C2FC9"/>
    <w:pPr>
      <w:numPr>
        <w:numId w:val="5"/>
      </w:numPr>
    </w:pPr>
  </w:style>
  <w:style w:type="paragraph" w:styleId="ListNumber4">
    <w:name w:val="List Number 4"/>
    <w:basedOn w:val="List4"/>
    <w:rsid w:val="004C2FC9"/>
    <w:pPr>
      <w:numPr>
        <w:numId w:val="6"/>
      </w:numPr>
    </w:pPr>
  </w:style>
  <w:style w:type="paragraph" w:styleId="ListNumber5">
    <w:name w:val="List Number 5"/>
    <w:basedOn w:val="List5"/>
    <w:rsid w:val="004C2FC9"/>
    <w:pPr>
      <w:numPr>
        <w:numId w:val="7"/>
      </w:numPr>
    </w:pPr>
  </w:style>
  <w:style w:type="paragraph" w:styleId="BlockText">
    <w:name w:val="Block Text"/>
    <w:basedOn w:val="Normal"/>
    <w:rsid w:val="004C2FC9"/>
    <w:pPr>
      <w:spacing w:after="120"/>
      <w:ind w:left="1440" w:right="1440"/>
    </w:pPr>
  </w:style>
  <w:style w:type="character" w:customStyle="1" w:styleId="Subscript">
    <w:name w:val="Subscript"/>
    <w:basedOn w:val="DefaultParagraphFont"/>
    <w:rsid w:val="004C2FC9"/>
    <w:rPr>
      <w:sz w:val="16"/>
      <w:vertAlign w:val="subscript"/>
    </w:rPr>
  </w:style>
  <w:style w:type="character" w:customStyle="1" w:styleId="Superscript">
    <w:name w:val="Superscript"/>
    <w:basedOn w:val="DefaultParagraphFont"/>
    <w:rsid w:val="004C2FC9"/>
    <w:rPr>
      <w:sz w:val="16"/>
      <w:vertAlign w:val="superscript"/>
    </w:rPr>
  </w:style>
  <w:style w:type="character" w:customStyle="1" w:styleId="Symbols">
    <w:name w:val="Symbols"/>
    <w:basedOn w:val="DefaultParagraphFont"/>
    <w:rsid w:val="004C2FC9"/>
    <w:rPr>
      <w:rFonts w:ascii="Symbol" w:hAnsi="Symbol"/>
    </w:rPr>
  </w:style>
  <w:style w:type="character" w:customStyle="1" w:styleId="MenuOptions">
    <w:name w:val="Menu Options"/>
    <w:basedOn w:val="DefaultParagraphFont"/>
    <w:rsid w:val="004C2FC9"/>
    <w:rPr>
      <w:rFonts w:ascii="Arial Narrow" w:hAnsi="Arial Narrow"/>
      <w:smallCaps/>
    </w:rPr>
  </w:style>
  <w:style w:type="character" w:customStyle="1" w:styleId="Buttons">
    <w:name w:val="Buttons"/>
    <w:basedOn w:val="DefaultParagraphFont"/>
    <w:rsid w:val="004C2FC9"/>
    <w:rPr>
      <w:b/>
    </w:rPr>
  </w:style>
  <w:style w:type="character" w:customStyle="1" w:styleId="Underlined">
    <w:name w:val="Underlined"/>
    <w:basedOn w:val="DefaultParagraphFont"/>
    <w:rsid w:val="004C2FC9"/>
    <w:rPr>
      <w:u w:val="single"/>
    </w:rPr>
  </w:style>
  <w:style w:type="paragraph" w:customStyle="1" w:styleId="TableBodyTextRight">
    <w:name w:val="Table Body Text Right"/>
    <w:basedOn w:val="TableBodyText"/>
    <w:rsid w:val="004C2FC9"/>
    <w:pPr>
      <w:widowControl w:val="0"/>
      <w:autoSpaceDE w:val="0"/>
      <w:autoSpaceDN w:val="0"/>
      <w:adjustRightInd w:val="0"/>
      <w:jc w:val="right"/>
    </w:pPr>
    <w:rPr>
      <w:rFonts w:cs="Arial"/>
      <w:szCs w:val="18"/>
    </w:rPr>
  </w:style>
  <w:style w:type="paragraph" w:customStyle="1" w:styleId="CopyrightText">
    <w:name w:val="Copyright Text"/>
    <w:basedOn w:val="BodyText"/>
    <w:rsid w:val="004C2FC9"/>
    <w:rPr>
      <w:sz w:val="18"/>
    </w:rPr>
  </w:style>
  <w:style w:type="paragraph" w:customStyle="1" w:styleId="BodySmallRight">
    <w:name w:val="Body Small Right"/>
    <w:basedOn w:val="BodyTextRight"/>
    <w:rsid w:val="004C2FC9"/>
    <w:rPr>
      <w:sz w:val="18"/>
      <w:szCs w:val="18"/>
    </w:rPr>
  </w:style>
  <w:style w:type="paragraph" w:customStyle="1" w:styleId="MarginEdition">
    <w:name w:val="Margin Edition"/>
    <w:basedOn w:val="MarginNote"/>
    <w:rsid w:val="004C2FC9"/>
    <w:pPr>
      <w:spacing w:before="0" w:after="0"/>
    </w:pPr>
    <w:rPr>
      <w:rFonts w:ascii="Times New Roman" w:hAnsi="Times New Roman"/>
      <w:color w:val="999999"/>
    </w:rPr>
  </w:style>
  <w:style w:type="paragraph" w:customStyle="1" w:styleId="Spacer">
    <w:name w:val="Spacer"/>
    <w:basedOn w:val="Normal"/>
    <w:rsid w:val="004C2FC9"/>
    <w:rPr>
      <w:sz w:val="2"/>
      <w:szCs w:val="2"/>
    </w:rPr>
  </w:style>
  <w:style w:type="character" w:customStyle="1" w:styleId="Small">
    <w:name w:val="Small"/>
    <w:basedOn w:val="DefaultParagraphFont"/>
    <w:rsid w:val="004C2FC9"/>
    <w:rPr>
      <w:sz w:val="16"/>
    </w:rPr>
  </w:style>
  <w:style w:type="paragraph" w:customStyle="1" w:styleId="WideTable">
    <w:name w:val="Wide Table"/>
    <w:basedOn w:val="Normal"/>
    <w:rsid w:val="004C2FC9"/>
    <w:pPr>
      <w:ind w:left="-1418"/>
    </w:pPr>
    <w:rPr>
      <w:sz w:val="2"/>
      <w:szCs w:val="2"/>
    </w:rPr>
  </w:style>
  <w:style w:type="character" w:styleId="PageNumber">
    <w:name w:val="page number"/>
    <w:basedOn w:val="DefaultParagraphFont"/>
    <w:rsid w:val="004C2FC9"/>
  </w:style>
  <w:style w:type="paragraph" w:styleId="Quote">
    <w:name w:val="Quote"/>
    <w:basedOn w:val="Heading1"/>
    <w:link w:val="QuoteChar"/>
    <w:qFormat/>
    <w:rsid w:val="004C2FC9"/>
    <w:rPr>
      <w:b w:val="0"/>
      <w:sz w:val="72"/>
      <w:szCs w:val="72"/>
      <w:lang w:val="en-NZ"/>
    </w:rPr>
  </w:style>
  <w:style w:type="character" w:customStyle="1" w:styleId="QuoteChar">
    <w:name w:val="Quote Char"/>
    <w:basedOn w:val="DefaultParagraphFont"/>
    <w:link w:val="Quote"/>
    <w:rsid w:val="004C2F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FC9"/>
    <w:pPr>
      <w:pageBreakBefore/>
    </w:pPr>
  </w:style>
  <w:style w:type="paragraph" w:customStyle="1" w:styleId="Border">
    <w:name w:val="Border"/>
    <w:basedOn w:val="Normal"/>
    <w:qFormat/>
    <w:rsid w:val="004C2F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FC9"/>
    <w:rPr>
      <w:b/>
      <w:bCs/>
      <w:i/>
      <w:iCs/>
      <w:color w:val="auto"/>
    </w:rPr>
  </w:style>
  <w:style w:type="paragraph" w:styleId="IntenseQuote">
    <w:name w:val="Intense Quote"/>
    <w:basedOn w:val="Normal"/>
    <w:next w:val="Normal"/>
    <w:link w:val="IntenseQuoteChar"/>
    <w:uiPriority w:val="30"/>
    <w:qFormat/>
    <w:rsid w:val="004C2F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F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FC9"/>
    <w:rPr>
      <w:smallCaps/>
      <w:color w:val="auto"/>
      <w:u w:val="single"/>
    </w:rPr>
  </w:style>
  <w:style w:type="character" w:styleId="IntenseReference">
    <w:name w:val="Intense Reference"/>
    <w:basedOn w:val="DefaultParagraphFont"/>
    <w:uiPriority w:val="32"/>
    <w:qFormat/>
    <w:rsid w:val="004C2FC9"/>
    <w:rPr>
      <w:b/>
      <w:bCs/>
      <w:smallCaps/>
      <w:color w:val="auto"/>
      <w:spacing w:val="5"/>
      <w:u w:val="single"/>
    </w:rPr>
  </w:style>
  <w:style w:type="paragraph" w:customStyle="1" w:styleId="2ColumnHeading">
    <w:name w:val="2Column Heading"/>
    <w:basedOn w:val="BodyText"/>
    <w:qFormat/>
    <w:rsid w:val="004C2FC9"/>
    <w:pPr>
      <w:spacing w:after="60"/>
      <w:ind w:left="-2268"/>
    </w:pPr>
    <w:rPr>
      <w:b/>
    </w:rPr>
  </w:style>
  <w:style w:type="paragraph" w:customStyle="1" w:styleId="Heading1TOC">
    <w:name w:val="Heading1 TOC"/>
    <w:basedOn w:val="Normal"/>
    <w:qFormat/>
    <w:rsid w:val="004C2FC9"/>
    <w:pPr>
      <w:spacing w:before="240" w:after="120"/>
    </w:pPr>
    <w:rPr>
      <w:rFonts w:ascii="Times New Roman" w:hAnsi="Times New Roman"/>
      <w:b/>
      <w:sz w:val="32"/>
    </w:rPr>
  </w:style>
  <w:style w:type="paragraph" w:customStyle="1" w:styleId="Heading2TOC">
    <w:name w:val="Heading2 TOC"/>
    <w:basedOn w:val="Normal"/>
    <w:qFormat/>
    <w:rsid w:val="004C2FC9"/>
    <w:pPr>
      <w:spacing w:before="240" w:after="60"/>
    </w:pPr>
    <w:rPr>
      <w:rFonts w:ascii="Times New Roman" w:hAnsi="Times New Roman"/>
      <w:b/>
      <w:sz w:val="28"/>
    </w:rPr>
  </w:style>
  <w:style w:type="character" w:customStyle="1" w:styleId="Underline">
    <w:name w:val="Underline"/>
    <w:basedOn w:val="DefaultParagraphFont"/>
    <w:qFormat/>
    <w:rsid w:val="004C2FC9"/>
    <w:rPr>
      <w:u w:val="single"/>
    </w:rPr>
  </w:style>
  <w:style w:type="character" w:customStyle="1" w:styleId="BoldandItalics">
    <w:name w:val="Bold and Italics"/>
    <w:qFormat/>
    <w:rsid w:val="004C2FC9"/>
    <w:rPr>
      <w:b/>
      <w:i/>
      <w:u w:val="none"/>
    </w:rPr>
  </w:style>
  <w:style w:type="paragraph" w:styleId="BalloonText">
    <w:name w:val="Balloon Text"/>
    <w:basedOn w:val="Normal"/>
    <w:link w:val="BalloonTextChar"/>
    <w:rsid w:val="004C2FC9"/>
    <w:rPr>
      <w:rFonts w:ascii="Tahoma" w:hAnsi="Tahoma" w:cs="Tahoma"/>
      <w:sz w:val="16"/>
      <w:szCs w:val="16"/>
    </w:rPr>
  </w:style>
  <w:style w:type="character" w:customStyle="1" w:styleId="BalloonTextChar">
    <w:name w:val="Balloon Text Char"/>
    <w:basedOn w:val="DefaultParagraphFont"/>
    <w:link w:val="BalloonText"/>
    <w:rsid w:val="004C2F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F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F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FC9"/>
    <w:rPr>
      <w:b/>
      <w:color w:val="660033"/>
      <w:spacing w:val="0"/>
    </w:rPr>
  </w:style>
  <w:style w:type="paragraph" w:customStyle="1" w:styleId="Nameditemlist">
    <w:name w:val="Named item list"/>
    <w:basedOn w:val="BodyText"/>
    <w:qFormat/>
    <w:rsid w:val="004C2FC9"/>
    <w:pPr>
      <w:tabs>
        <w:tab w:val="left" w:pos="2835"/>
      </w:tabs>
      <w:ind w:left="2835" w:hanging="2835"/>
    </w:pPr>
  </w:style>
  <w:style w:type="paragraph" w:customStyle="1" w:styleId="BodyTextnopadding">
    <w:name w:val="Body Text no padding"/>
    <w:basedOn w:val="BodyText"/>
    <w:qFormat/>
    <w:rsid w:val="004C2FC9"/>
    <w:pPr>
      <w:spacing w:before="0" w:after="0"/>
    </w:pPr>
  </w:style>
  <w:style w:type="paragraph" w:customStyle="1" w:styleId="BodyTextBold">
    <w:name w:val="Body Text Bold"/>
    <w:basedOn w:val="BodyText"/>
    <w:qFormat/>
    <w:rsid w:val="004C2FC9"/>
    <w:rPr>
      <w:b/>
    </w:rPr>
  </w:style>
  <w:style w:type="character" w:styleId="Hyperlink">
    <w:name w:val="Hyperlink"/>
    <w:basedOn w:val="DefaultParagraphFont"/>
    <w:uiPriority w:val="99"/>
    <w:unhideWhenUsed/>
    <w:rsid w:val="00094D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Words>
  <Characters>6738</Characters>
  <Application>Microsoft Office Word</Application>
  <DocSecurity>0</DocSecurity>
  <Lines>249</Lines>
  <Paragraphs>140</Paragraphs>
  <ScaleCrop>false</ScaleCrop>
  <Company>Author-it Software Corporation Ltd.</Company>
  <LinksUpToDate>false</LinksUpToDate>
  <CharactersWithSpaces>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MSL925003 Determine measurements of uncertainty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2025-03-01T12:21:00Z</dcterms:created>
  <dcterms:modified xsi:type="dcterms:W3CDTF">2025-03-01T12:21:00Z</dcterms:modified>
</cp:coreProperties>
</file>