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B57" w:rsidP="00967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MSL925003 Determine measurements of uncertainty</w:t>
      </w:r>
      <w:r>
        <w:fldChar w:fldCharType="end"/>
      </w:r>
    </w:p>
    <w:p w:rsidR="00967B57" w:rsidP="00967B57">
      <w:pPr>
        <w:pStyle w:val="Version"/>
        <w:sectPr w:rsidSect="004A7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144" w:rsidP="004A7144">
      <w:pPr>
        <w:pStyle w:val="SuperHeading"/>
      </w:pPr>
      <w:r w:rsidRPr="004A7144">
        <w:t>Assessment Requirements for MSL925003 Determine measurements of uncertainty</w:t>
      </w:r>
    </w:p>
    <w:p w:rsidR="00000000" w:rsidRPr="004A7144" w:rsidP="004A7144">
      <w:pPr>
        <w:pStyle w:val="Heading1"/>
      </w:pPr>
      <w:bookmarkStart w:id="1" w:name="O_970898"/>
      <w:bookmarkEnd w:id="1"/>
      <w:r w:rsidRPr="004A7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4A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7144" w:rsidP="004A7144">
            <w:pPr>
              <w:pStyle w:val="BodyText"/>
            </w:pPr>
            <w:r w:rsidRPr="004A714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7144">
            <w:pPr>
              <w:pStyle w:val="BodyText"/>
              <w:rPr>
                <w:lang w:val="en-NZ"/>
              </w:rPr>
            </w:pPr>
            <w:r w:rsidRPr="004A7144">
              <w:rPr>
                <w:rStyle w:val="SpecialBold"/>
              </w:rPr>
              <w:t>Comments</w:t>
            </w:r>
          </w:p>
        </w:tc>
      </w:tr>
      <w:tr w:rsidTr="004A7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144">
            <w:pPr>
              <w:pStyle w:val="BodyText"/>
              <w:rPr>
                <w:lang w:val="en-NZ"/>
              </w:rPr>
            </w:pPr>
            <w:r w:rsidRPr="004A714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144" w:rsidP="004A7144">
            <w:pPr>
              <w:pStyle w:val="BodyText"/>
            </w:pPr>
            <w:r w:rsidRPr="004A7144">
              <w:t xml:space="preserve">This version was released in </w:t>
            </w:r>
            <w:r w:rsidRPr="004A7144">
              <w:rPr>
                <w:rStyle w:val="Emphasis"/>
              </w:rPr>
              <w:t>MSL Laboratory Operations Training Package Release 2.0</w:t>
            </w:r>
            <w:r w:rsidRPr="004A7144">
              <w:t>.</w:t>
            </w:r>
          </w:p>
          <w:p w:rsidR="00000000" w:rsidRPr="004A7144" w:rsidP="004A7144">
            <w:pPr>
              <w:pStyle w:val="BodyText"/>
            </w:pPr>
            <w:r w:rsidRPr="004A7144">
              <w:t xml:space="preserve">Supersedes and equivalent to </w:t>
            </w:r>
            <w:r w:rsidRPr="004A7144">
              <w:rPr>
                <w:rStyle w:val="Emphasis"/>
              </w:rPr>
              <w:t>MSL925002 Analyse measurements and estimate uncertainties</w:t>
            </w:r>
            <w:r w:rsidRPr="004A7144">
              <w:t>. Prerequisite removed. Range of conditions removed. Assessment requirements amended.</w:t>
            </w:r>
          </w:p>
        </w:tc>
      </w:tr>
    </w:tbl>
    <w:p w:rsidR="00000000" w:rsidRPr="004A7144" w:rsidP="004A7144">
      <w:pPr>
        <w:pStyle w:val="BodyText"/>
      </w:pPr>
    </w:p>
    <w:p w:rsidR="00000000" w:rsidRPr="004A7144" w:rsidP="004A7144">
      <w:pPr>
        <w:pStyle w:val="AllowPageBreak"/>
      </w:pPr>
    </w:p>
    <w:p w:rsidR="00000000" w:rsidRPr="004A7144" w:rsidP="004A7144">
      <w:pPr>
        <w:pStyle w:val="Heading1"/>
      </w:pPr>
      <w:bookmarkStart w:id="2" w:name="O_970901"/>
      <w:bookmarkEnd w:id="2"/>
      <w:r w:rsidRPr="004A7144">
        <w:t>Performance Evidence</w:t>
      </w:r>
    </w:p>
    <w:p w:rsidR="00000000" w:rsidRPr="004A7144" w:rsidP="00967B57">
      <w:pPr>
        <w:pStyle w:val="BodyText"/>
      </w:pPr>
      <w:r w:rsidRPr="004A7144">
        <w:t xml:space="preserve">There must be evidence the candidate has completed the tasks outlined in </w:t>
      </w:r>
      <w:r w:rsidRPr="004A7144">
        <w:t>the elements and performance criteria of this unit, and:</w:t>
      </w:r>
    </w:p>
    <w:p w:rsidR="00000000" w:rsidRPr="004A7144" w:rsidP="004A7144">
      <w:pPr>
        <w:pStyle w:val="ListBullet"/>
      </w:pPr>
      <w:r w:rsidRPr="004A7144">
        <w:t xml:space="preserve">analysed measurements and estimated uncertainties of a minimum of 3 sets of data, including: </w:t>
      </w:r>
    </w:p>
    <w:p w:rsidR="00000000" w:rsidRPr="004A7144" w:rsidP="004A7144">
      <w:pPr>
        <w:pStyle w:val="ListBullet2"/>
      </w:pPr>
      <w:r w:rsidRPr="004A7144">
        <w:t>using scientific notation, correct units and correct number of significant figures</w:t>
      </w:r>
    </w:p>
    <w:p w:rsidR="00000000" w:rsidRPr="004A7144" w:rsidP="004A7144">
      <w:pPr>
        <w:pStyle w:val="ListBullet2"/>
      </w:pPr>
      <w:r w:rsidRPr="004A7144">
        <w:t>evaluating formulae containing powers, exponents and logarithms functions</w:t>
      </w:r>
    </w:p>
    <w:p w:rsidR="00000000" w:rsidRPr="004A7144" w:rsidP="004A7144">
      <w:pPr>
        <w:pStyle w:val="ListBullet2"/>
      </w:pPr>
      <w:r w:rsidRPr="004A7144">
        <w:t>preparing and interpreting linear graphs</w:t>
      </w:r>
    </w:p>
    <w:p w:rsidR="00000000" w:rsidRPr="004A7144" w:rsidP="004A7144">
      <w:pPr>
        <w:pStyle w:val="ListBullet2"/>
      </w:pPr>
      <w:r w:rsidRPr="004A7144">
        <w:t xml:space="preserve">using statistical analysis to estimate and report measurement uncertainty in accordance with the </w:t>
      </w:r>
      <w:r w:rsidRPr="004A7144">
        <w:rPr>
          <w:rStyle w:val="Emphasis"/>
        </w:rPr>
        <w:t>ISO</w:t>
      </w:r>
      <w:r w:rsidRPr="004A7144">
        <w:t xml:space="preserve"> </w:t>
      </w:r>
      <w:r w:rsidRPr="004A7144">
        <w:rPr>
          <w:rStyle w:val="Emphasis"/>
        </w:rPr>
        <w:t>Guide to the Expression of Uncertainty i</w:t>
      </w:r>
      <w:r w:rsidRPr="004A7144">
        <w:rPr>
          <w:rStyle w:val="Emphasis"/>
        </w:rPr>
        <w:t xml:space="preserve">n Measurement </w:t>
      </w:r>
    </w:p>
    <w:p w:rsidR="00000000" w:rsidRPr="004A7144" w:rsidP="004A7144">
      <w:pPr>
        <w:pStyle w:val="ListBullet2"/>
      </w:pPr>
      <w:r w:rsidRPr="004A7144">
        <w:t>calculating a combined standard uncertainty using root-sum-of-squares, accounting for correlations where necessary</w:t>
      </w:r>
    </w:p>
    <w:p w:rsidR="00000000" w:rsidRPr="004A7144" w:rsidP="004A7144">
      <w:pPr>
        <w:pStyle w:val="ListBullet2"/>
      </w:pPr>
      <w:r w:rsidRPr="004A7144">
        <w:t>gathering information about uncertainty components from calibration reports or reference material report</w:t>
      </w:r>
    </w:p>
    <w:p w:rsidR="00000000" w:rsidRPr="004A7144" w:rsidP="004A7144">
      <w:pPr>
        <w:pStyle w:val="ListBullet2"/>
      </w:pPr>
      <w:r w:rsidRPr="004A7144">
        <w:t>calculating sensitivi</w:t>
      </w:r>
      <w:r w:rsidRPr="004A7144">
        <w:t>ty coefficients either experimentally or by partial differentiation</w:t>
      </w:r>
    </w:p>
    <w:p w:rsidR="00000000" w:rsidRPr="004A7144" w:rsidP="004A7144">
      <w:pPr>
        <w:pStyle w:val="ListBullet2"/>
      </w:pPr>
      <w:r w:rsidRPr="004A7144">
        <w:t>reporting results and uncertainties in the required formats.</w:t>
      </w:r>
    </w:p>
    <w:p w:rsidR="00000000" w:rsidRPr="004A7144" w:rsidP="004A7144">
      <w:pPr>
        <w:pStyle w:val="AllowPageBreak"/>
      </w:pPr>
    </w:p>
    <w:p w:rsidR="00000000" w:rsidRPr="004A7144" w:rsidP="004A7144">
      <w:pPr>
        <w:pStyle w:val="Heading1"/>
      </w:pPr>
      <w:bookmarkStart w:id="3" w:name="O_970900"/>
      <w:bookmarkEnd w:id="3"/>
      <w:r w:rsidRPr="004A7144">
        <w:t>Knowledge Evidence</w:t>
      </w:r>
    </w:p>
    <w:p w:rsidR="00000000" w:rsidRPr="004A7144" w:rsidP="00967B57">
      <w:pPr>
        <w:pStyle w:val="BodyText"/>
      </w:pPr>
      <w:r w:rsidRPr="004A7144">
        <w:t>There must be evidence the candidate has knowledge of:</w:t>
      </w:r>
    </w:p>
    <w:p w:rsidR="00000000" w:rsidRPr="004A7144" w:rsidP="004A7144">
      <w:pPr>
        <w:pStyle w:val="ListBullet"/>
      </w:pPr>
      <w:r w:rsidRPr="004A7144">
        <w:t xml:space="preserve">the steps in the measurement, test </w:t>
      </w:r>
      <w:r w:rsidRPr="004A7144">
        <w:t>or calibration involved</w:t>
      </w:r>
    </w:p>
    <w:p w:rsidR="00000000" w:rsidRPr="004A7144" w:rsidP="004A7144">
      <w:pPr>
        <w:pStyle w:val="ListBullet"/>
      </w:pPr>
      <w:r w:rsidRPr="004A7144">
        <w:t>the difference between errors, corrections and uncertainties</w:t>
      </w:r>
    </w:p>
    <w:p w:rsidR="00000000" w:rsidRPr="004A7144" w:rsidP="004A7144">
      <w:pPr>
        <w:pStyle w:val="ListBullet"/>
      </w:pPr>
      <w:r w:rsidRPr="004A7144">
        <w:t>uncertainty in the uncertainty estimation process</w:t>
      </w:r>
    </w:p>
    <w:p w:rsidR="00000000" w:rsidRPr="004A7144" w:rsidP="004A7144">
      <w:pPr>
        <w:pStyle w:val="ListBullet"/>
      </w:pPr>
      <w:r w:rsidRPr="004A7144">
        <w:t>uncertainty components:</w:t>
      </w:r>
    </w:p>
    <w:p w:rsidR="00000000" w:rsidRPr="004A7144" w:rsidP="004A7144">
      <w:pPr>
        <w:pStyle w:val="ListBullet2"/>
      </w:pPr>
      <w:r w:rsidRPr="004A7144">
        <w:t>calibration uncertainty</w:t>
      </w:r>
    </w:p>
    <w:p w:rsidR="00000000" w:rsidRPr="004A7144" w:rsidP="004A7144">
      <w:pPr>
        <w:pStyle w:val="ListBullet2"/>
      </w:pPr>
      <w:r w:rsidRPr="004A7144">
        <w:t>instability or drift in the calibrated instrument</w:t>
      </w:r>
    </w:p>
    <w:p w:rsidR="00000000" w:rsidRPr="004A7144" w:rsidP="004A7144">
      <w:pPr>
        <w:pStyle w:val="ListBullet2"/>
      </w:pPr>
      <w:r w:rsidRPr="004A7144">
        <w:t>repeatability of the results</w:t>
      </w:r>
    </w:p>
    <w:p w:rsidR="00000000" w:rsidRPr="004A7144" w:rsidP="004A7144">
      <w:pPr>
        <w:pStyle w:val="ListBullet2"/>
      </w:pPr>
      <w:r w:rsidRPr="004A7144">
        <w:t>resolution or readability of the instrument</w:t>
      </w:r>
    </w:p>
    <w:p w:rsidR="00000000" w:rsidRPr="004A7144" w:rsidP="004A7144">
      <w:pPr>
        <w:pStyle w:val="ListBullet2"/>
      </w:pPr>
      <w:r w:rsidRPr="004A7144">
        <w:t>environmental influences, such as temperature, air pressure, humidity, vibration, electrical noise and gravity</w:t>
      </w:r>
    </w:p>
    <w:p w:rsidR="00000000" w:rsidRPr="004A7144" w:rsidP="004A7144">
      <w:pPr>
        <w:pStyle w:val="ListBullet2"/>
      </w:pPr>
      <w:r w:rsidRPr="004A7144">
        <w:t>reference material uncertainty</w:t>
      </w:r>
    </w:p>
    <w:p w:rsidR="00000000" w:rsidRPr="004A7144" w:rsidP="004A7144">
      <w:pPr>
        <w:pStyle w:val="ListBullet2"/>
      </w:pPr>
      <w:r w:rsidRPr="004A7144">
        <w:t>common to the use of an instrument</w:t>
      </w:r>
    </w:p>
    <w:p w:rsidR="00000000" w:rsidRPr="004A7144" w:rsidP="004A7144">
      <w:pPr>
        <w:pStyle w:val="ListBullet2"/>
      </w:pPr>
      <w:r w:rsidRPr="004A7144">
        <w:t>factor</w:t>
      </w:r>
      <w:r w:rsidRPr="004A7144">
        <w:t>s arising from the instrument being used under different conditions to those when it was calibrated</w:t>
      </w:r>
    </w:p>
    <w:p w:rsidR="00000000" w:rsidRPr="004A7144" w:rsidP="004A7144">
      <w:pPr>
        <w:pStyle w:val="ListBullet2"/>
      </w:pPr>
      <w:r w:rsidRPr="004A7144">
        <w:t>factors arising from using an instrument under a different operating environment or procedures (such as orientation of a transducer and immersion depth of a</w:t>
      </w:r>
      <w:r w:rsidRPr="004A7144">
        <w:t xml:space="preserve"> temperature probe)</w:t>
      </w:r>
    </w:p>
    <w:p w:rsidR="00000000" w:rsidRPr="004A7144" w:rsidP="004A7144">
      <w:pPr>
        <w:pStyle w:val="ListBullet2"/>
      </w:pPr>
      <w:r w:rsidRPr="004A7144">
        <w:t>reproducibility of quality control data</w:t>
      </w:r>
    </w:p>
    <w:p w:rsidR="00000000" w:rsidRPr="004A7144" w:rsidP="004A7144">
      <w:pPr>
        <w:pStyle w:val="ListBullet"/>
      </w:pPr>
      <w:r w:rsidRPr="004A7144">
        <w:t>workplace procedures for:</w:t>
      </w:r>
    </w:p>
    <w:p w:rsidR="00000000" w:rsidRPr="004A7144" w:rsidP="004A7144">
      <w:pPr>
        <w:pStyle w:val="ListBullet2"/>
      </w:pPr>
      <w:r w:rsidRPr="004A7144">
        <w:t>determining the uncertainty components associated with each of the inputs and whether they are significant and for applying appropriate corrections</w:t>
      </w:r>
    </w:p>
    <w:p w:rsidR="00000000" w:rsidRPr="004A7144" w:rsidP="004A7144">
      <w:pPr>
        <w:pStyle w:val="ListBullet2"/>
      </w:pPr>
      <w:r w:rsidRPr="004A7144">
        <w:t>determining uncertai</w:t>
      </w:r>
      <w:r w:rsidRPr="004A7144">
        <w:t>nty components from quality control data</w:t>
      </w:r>
    </w:p>
    <w:p w:rsidR="00000000" w:rsidRPr="004A7144" w:rsidP="004A7144">
      <w:pPr>
        <w:pStyle w:val="ListBullet"/>
      </w:pPr>
      <w:r w:rsidRPr="004A7144">
        <w:t>manufacturer</w:t>
      </w:r>
      <w:r>
        <w:t>’</w:t>
      </w:r>
      <w:r w:rsidRPr="004A7144">
        <w:t>s specifications (including instrument drift specification and reference materials)</w:t>
      </w:r>
    </w:p>
    <w:p w:rsidR="00000000" w:rsidRPr="004A7144" w:rsidP="004A7144">
      <w:pPr>
        <w:pStyle w:val="ListBullet"/>
      </w:pPr>
      <w:r w:rsidRPr="004A7144">
        <w:t xml:space="preserve">the concept of degrees of freedom </w:t>
      </w:r>
    </w:p>
    <w:p w:rsidR="00000000" w:rsidRPr="004A7144" w:rsidP="004A7144">
      <w:pPr>
        <w:pStyle w:val="ListBullet"/>
      </w:pPr>
      <w:r w:rsidRPr="004A7144">
        <w:t>the characteristics of a valid measurement</w:t>
      </w:r>
    </w:p>
    <w:p w:rsidR="00000000" w:rsidRPr="004A7144" w:rsidP="004A7144">
      <w:pPr>
        <w:pStyle w:val="ListBullet"/>
      </w:pPr>
      <w:r w:rsidRPr="004A7144">
        <w:t>reporting requirements: the uncertainty in measurement (GUM), National Association of Testing Authorities (NATA) or other applicable reference material</w:t>
      </w:r>
    </w:p>
    <w:p w:rsidR="00000000" w:rsidRPr="004A7144" w:rsidP="004A7144">
      <w:pPr>
        <w:pStyle w:val="ListBullet"/>
      </w:pPr>
      <w:r w:rsidRPr="004A7144">
        <w:t>Australian and international standards, codes and guides as they relate to the job role</w:t>
      </w:r>
    </w:p>
    <w:p w:rsidR="00000000" w:rsidRPr="004A7144" w:rsidP="004A7144">
      <w:pPr>
        <w:pStyle w:val="ListBullet"/>
      </w:pPr>
      <w:r w:rsidRPr="004A7144">
        <w:t>legal, ethical a</w:t>
      </w:r>
      <w:r w:rsidRPr="004A7144">
        <w:t>nd work health and safety (WHS) requirements specific to the work task.</w:t>
      </w:r>
    </w:p>
    <w:p w:rsidR="00000000" w:rsidRPr="004A7144" w:rsidP="004A7144">
      <w:pPr>
        <w:pStyle w:val="AllowPageBreak"/>
      </w:pPr>
    </w:p>
    <w:p w:rsidR="00000000" w:rsidRPr="004A7144" w:rsidP="004A7144">
      <w:pPr>
        <w:pStyle w:val="Heading1"/>
      </w:pPr>
      <w:bookmarkStart w:id="4" w:name="O_970899"/>
      <w:bookmarkEnd w:id="4"/>
      <w:r w:rsidRPr="004A7144">
        <w:t>Assessment Conditions</w:t>
      </w:r>
    </w:p>
    <w:p w:rsidR="00000000" w:rsidRPr="004A7144" w:rsidP="00967B57">
      <w:pPr>
        <w:pStyle w:val="BodyText"/>
      </w:pPr>
      <w:r w:rsidRPr="004A7144">
        <w:t>Skills must have been demonstrated in the workplace or in a simulated environment that reflects workplace conditions and contingencies. The follo</w:t>
      </w:r>
      <w:r w:rsidRPr="004A7144">
        <w:t xml:space="preserve">wing conditions must be met for this unit: </w:t>
      </w:r>
    </w:p>
    <w:p w:rsidR="00000000" w:rsidRPr="004A7144" w:rsidP="004A7144">
      <w:pPr>
        <w:pStyle w:val="ListBullet"/>
      </w:pPr>
      <w:r w:rsidRPr="004A7144">
        <w:t xml:space="preserve">use of suitable facilities, equipment and resources, including: </w:t>
      </w:r>
    </w:p>
    <w:p w:rsidR="00000000" w:rsidRPr="004A7144" w:rsidP="004A7144">
      <w:pPr>
        <w:pStyle w:val="ListBullet2"/>
      </w:pPr>
      <w:r w:rsidRPr="004A7144">
        <w:t>data sets and records</w:t>
      </w:r>
    </w:p>
    <w:p w:rsidR="00000000" w:rsidRPr="004A7144" w:rsidP="004A7144">
      <w:pPr>
        <w:pStyle w:val="ListBullet2"/>
      </w:pPr>
      <w:r w:rsidRPr="004A7144">
        <w:t>test methods and description of test set-up</w:t>
      </w:r>
    </w:p>
    <w:p w:rsidR="00000000" w:rsidRPr="004A7144" w:rsidP="004A7144">
      <w:pPr>
        <w:pStyle w:val="ListBullet2"/>
      </w:pPr>
      <w:r w:rsidRPr="004A7144">
        <w:t>computer and relevant software or laboratory information system</w:t>
      </w:r>
    </w:p>
    <w:p w:rsidR="00000000" w:rsidRPr="004A7144" w:rsidP="004A7144">
      <w:pPr>
        <w:pStyle w:val="ListBullet2"/>
      </w:pPr>
      <w:r w:rsidRPr="004A7144">
        <w:t>workplace sampl</w:t>
      </w:r>
      <w:r w:rsidRPr="004A7144">
        <w:t xml:space="preserve">ing and test procedures. </w:t>
      </w:r>
    </w:p>
    <w:p w:rsidR="00000000" w:rsidRPr="004A7144" w:rsidP="00967B57">
      <w:pPr>
        <w:pStyle w:val="BodyText"/>
      </w:pPr>
      <w:r w:rsidRPr="004A7144">
        <w:br/>
        <w:t>Assessors must satisfy the NVR/AQTF mandatory competency requirements for assessors.</w:t>
      </w:r>
    </w:p>
    <w:p w:rsidR="00000000" w:rsidRPr="004A7144" w:rsidP="004A7144">
      <w:pPr>
        <w:pStyle w:val="AllowPageBreak"/>
      </w:pPr>
    </w:p>
    <w:p w:rsidR="00000000" w:rsidRPr="004A7144" w:rsidP="004A7144">
      <w:pPr>
        <w:pStyle w:val="Heading1"/>
      </w:pPr>
      <w:bookmarkStart w:id="5" w:name="O_970897"/>
      <w:bookmarkEnd w:id="5"/>
      <w:r w:rsidRPr="004A7144">
        <w:t>Links</w:t>
      </w:r>
    </w:p>
    <w:p w:rsidR="00000000" w:rsidRPr="004A7144" w:rsidP="00967B57">
      <w:pPr>
        <w:pStyle w:val="BodyText"/>
      </w:pPr>
      <w:r w:rsidRPr="004A714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2667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A7144" w:rsidP="004A7144"/>
    <w:sectPr w:rsidSect="004A7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44" w:rsidRPr="00967B57" w:rsidP="00967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57" w:rsidP="004A7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B57" w:rsidP="004A7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7B57" w:rsidP="004A7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144" w:rsidRPr="00967B57" w:rsidP="00967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57" w:rsidRPr="002D2AF8" w:rsidP="004A7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MSL925003 Determine measurements of uncertainty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967B57" w:rsidP="004A7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6E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0C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A1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144"/>
  </w:style>
  <w:style w:type="character" w:customStyle="1" w:styleId="Heading1Char">
    <w:name w:val="Heading 1 Char"/>
    <w:basedOn w:val="DefaultParagraphFont"/>
    <w:link w:val="Heading1"/>
    <w:rsid w:val="004A7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144"/>
    <w:rPr>
      <w:b/>
      <w:spacing w:val="0"/>
    </w:rPr>
  </w:style>
  <w:style w:type="paragraph" w:styleId="ListBullet2">
    <w:name w:val="List Bullet 2"/>
    <w:basedOn w:val="List2"/>
    <w:rsid w:val="004A71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7144"/>
    <w:rPr>
      <w:i/>
    </w:rPr>
  </w:style>
  <w:style w:type="paragraph" w:customStyle="1" w:styleId="SuperHeading">
    <w:name w:val="SuperHeading"/>
    <w:basedOn w:val="Normal"/>
    <w:rsid w:val="004A7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144"/>
  </w:style>
  <w:style w:type="paragraph" w:styleId="TableofFigures">
    <w:name w:val="table of figures"/>
    <w:basedOn w:val="Normal"/>
    <w:next w:val="Normal"/>
    <w:semiHidden/>
    <w:rsid w:val="004A7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144"/>
    <w:rPr>
      <w:rFonts w:ascii="Wingdings" w:hAnsi="Wingdings"/>
    </w:rPr>
  </w:style>
  <w:style w:type="paragraph" w:customStyle="1" w:styleId="TableHeading">
    <w:name w:val="Table Heading"/>
    <w:basedOn w:val="HeadingBase"/>
    <w:rsid w:val="004A7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144"/>
    <w:rPr>
      <w:color w:val="0033CC"/>
      <w:u w:val="none"/>
    </w:rPr>
  </w:style>
  <w:style w:type="paragraph" w:customStyle="1" w:styleId="BodyTextRight">
    <w:name w:val="Body Text Right"/>
    <w:basedOn w:val="BodyText"/>
    <w:rsid w:val="004A7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144"/>
    <w:rPr>
      <w:sz w:val="32"/>
    </w:rPr>
  </w:style>
  <w:style w:type="paragraph" w:customStyle="1" w:styleId="HeadingProcedure">
    <w:name w:val="Heading Procedure"/>
    <w:basedOn w:val="HeadingBase"/>
    <w:next w:val="Normal"/>
    <w:rsid w:val="004A7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144"/>
    <w:pPr>
      <w:spacing w:before="60" w:after="60"/>
    </w:pPr>
  </w:style>
  <w:style w:type="paragraph" w:styleId="ListContinue">
    <w:name w:val="List Continue"/>
    <w:basedOn w:val="List"/>
    <w:rsid w:val="004A7144"/>
    <w:pPr>
      <w:ind w:firstLine="0"/>
    </w:pPr>
  </w:style>
  <w:style w:type="paragraph" w:customStyle="1" w:styleId="ListNote">
    <w:name w:val="List Note"/>
    <w:basedOn w:val="List"/>
    <w:rsid w:val="004A7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144"/>
    <w:rPr>
      <w:rFonts w:ascii="Courier New" w:hAnsi="Courier New"/>
    </w:rPr>
  </w:style>
  <w:style w:type="paragraph" w:customStyle="1" w:styleId="NoteBullet">
    <w:name w:val="Note Bullet"/>
    <w:basedOn w:val="Note"/>
    <w:rsid w:val="004A7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144"/>
    <w:rPr>
      <w:b/>
      <w:smallCaps/>
    </w:rPr>
  </w:style>
  <w:style w:type="paragraph" w:customStyle="1" w:styleId="TableListNumber">
    <w:name w:val="Table List Number"/>
    <w:basedOn w:val="ListNumber"/>
    <w:rsid w:val="004A7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144"/>
    <w:pPr>
      <w:numPr>
        <w:numId w:val="9"/>
      </w:numPr>
    </w:pPr>
  </w:style>
  <w:style w:type="paragraph" w:customStyle="1" w:styleId="ListAlpha2">
    <w:name w:val="List Alpha 2"/>
    <w:basedOn w:val="List2"/>
    <w:rsid w:val="004A7144"/>
    <w:pPr>
      <w:numPr>
        <w:numId w:val="8"/>
      </w:numPr>
    </w:pPr>
  </w:style>
  <w:style w:type="paragraph" w:styleId="List2">
    <w:name w:val="List 2"/>
    <w:basedOn w:val="BodyText"/>
    <w:rsid w:val="004A7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144"/>
    <w:pPr>
      <w:numPr>
        <w:numId w:val="4"/>
      </w:numPr>
    </w:pPr>
  </w:style>
  <w:style w:type="paragraph" w:styleId="ListContinue2">
    <w:name w:val="List Continue 2"/>
    <w:basedOn w:val="List2"/>
    <w:rsid w:val="004A7144"/>
    <w:pPr>
      <w:ind w:firstLine="0"/>
    </w:pPr>
  </w:style>
  <w:style w:type="paragraph" w:styleId="ListContinue3">
    <w:name w:val="List Continue 3"/>
    <w:basedOn w:val="List3"/>
    <w:rsid w:val="004A7144"/>
    <w:pPr>
      <w:ind w:left="1021" w:firstLine="0"/>
    </w:pPr>
  </w:style>
  <w:style w:type="paragraph" w:styleId="ListContinue4">
    <w:name w:val="List Continue 4"/>
    <w:basedOn w:val="List4"/>
    <w:rsid w:val="004A7144"/>
    <w:pPr>
      <w:ind w:firstLine="0"/>
    </w:pPr>
  </w:style>
  <w:style w:type="paragraph" w:styleId="ListContinue5">
    <w:name w:val="List Continue 5"/>
    <w:basedOn w:val="List5"/>
    <w:rsid w:val="004A7144"/>
    <w:pPr>
      <w:ind w:firstLine="0"/>
    </w:pPr>
  </w:style>
  <w:style w:type="paragraph" w:styleId="ListNumber3">
    <w:name w:val="List Number 3"/>
    <w:basedOn w:val="List3"/>
    <w:rsid w:val="004A7144"/>
    <w:pPr>
      <w:numPr>
        <w:numId w:val="5"/>
      </w:numPr>
    </w:pPr>
  </w:style>
  <w:style w:type="paragraph" w:styleId="ListNumber4">
    <w:name w:val="List Number 4"/>
    <w:basedOn w:val="List4"/>
    <w:rsid w:val="004A7144"/>
    <w:pPr>
      <w:numPr>
        <w:numId w:val="6"/>
      </w:numPr>
    </w:pPr>
  </w:style>
  <w:style w:type="paragraph" w:styleId="ListNumber5">
    <w:name w:val="List Number 5"/>
    <w:basedOn w:val="List5"/>
    <w:rsid w:val="004A7144"/>
    <w:pPr>
      <w:numPr>
        <w:numId w:val="7"/>
      </w:numPr>
    </w:pPr>
  </w:style>
  <w:style w:type="paragraph" w:styleId="BlockText">
    <w:name w:val="Block Text"/>
    <w:basedOn w:val="Normal"/>
    <w:rsid w:val="004A7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144"/>
    <w:rPr>
      <w:sz w:val="16"/>
      <w:vertAlign w:val="superscript"/>
    </w:rPr>
  </w:style>
  <w:style w:type="character" w:customStyle="1" w:styleId="Symbols">
    <w:name w:val="Symbols"/>
    <w:basedOn w:val="DefaultParagraphFont"/>
    <w:rsid w:val="004A7144"/>
    <w:rPr>
      <w:rFonts w:ascii="Symbol" w:hAnsi="Symbol"/>
    </w:rPr>
  </w:style>
  <w:style w:type="character" w:customStyle="1" w:styleId="MenuOptions">
    <w:name w:val="Menu Options"/>
    <w:basedOn w:val="DefaultParagraphFont"/>
    <w:rsid w:val="004A7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144"/>
    <w:rPr>
      <w:b/>
    </w:rPr>
  </w:style>
  <w:style w:type="character" w:customStyle="1" w:styleId="Underlined">
    <w:name w:val="Underlined"/>
    <w:basedOn w:val="DefaultParagraphFont"/>
    <w:rsid w:val="004A7144"/>
    <w:rPr>
      <w:u w:val="single"/>
    </w:rPr>
  </w:style>
  <w:style w:type="paragraph" w:customStyle="1" w:styleId="TableBodyTextRight">
    <w:name w:val="Table Body Text Right"/>
    <w:basedOn w:val="TableBodyText"/>
    <w:rsid w:val="004A7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144"/>
    <w:rPr>
      <w:sz w:val="18"/>
    </w:rPr>
  </w:style>
  <w:style w:type="paragraph" w:customStyle="1" w:styleId="BodySmallRight">
    <w:name w:val="Body Small Right"/>
    <w:basedOn w:val="BodyTextRight"/>
    <w:rsid w:val="004A7144"/>
    <w:rPr>
      <w:sz w:val="18"/>
      <w:szCs w:val="18"/>
    </w:rPr>
  </w:style>
  <w:style w:type="paragraph" w:customStyle="1" w:styleId="MarginEdition">
    <w:name w:val="Margin Edition"/>
    <w:basedOn w:val="MarginNote"/>
    <w:rsid w:val="004A7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144"/>
    <w:rPr>
      <w:sz w:val="2"/>
      <w:szCs w:val="2"/>
    </w:rPr>
  </w:style>
  <w:style w:type="character" w:customStyle="1" w:styleId="Small">
    <w:name w:val="Small"/>
    <w:basedOn w:val="DefaultParagraphFont"/>
    <w:rsid w:val="004A7144"/>
    <w:rPr>
      <w:sz w:val="16"/>
    </w:rPr>
  </w:style>
  <w:style w:type="paragraph" w:customStyle="1" w:styleId="WideTable">
    <w:name w:val="Wide Table"/>
    <w:basedOn w:val="Normal"/>
    <w:rsid w:val="004A7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144"/>
  </w:style>
  <w:style w:type="paragraph" w:styleId="Quote">
    <w:name w:val="Quote"/>
    <w:basedOn w:val="Heading1"/>
    <w:link w:val="QuoteChar"/>
    <w:qFormat/>
    <w:rsid w:val="004A7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144"/>
    <w:pPr>
      <w:pageBreakBefore/>
    </w:pPr>
  </w:style>
  <w:style w:type="paragraph" w:customStyle="1" w:styleId="Border">
    <w:name w:val="Border"/>
    <w:basedOn w:val="Normal"/>
    <w:qFormat/>
    <w:rsid w:val="004A7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144"/>
    <w:rPr>
      <w:u w:val="single"/>
    </w:rPr>
  </w:style>
  <w:style w:type="character" w:customStyle="1" w:styleId="BoldandItalics">
    <w:name w:val="Bold and Italics"/>
    <w:qFormat/>
    <w:rsid w:val="004A7144"/>
    <w:rPr>
      <w:b/>
      <w:i/>
      <w:u w:val="none"/>
    </w:rPr>
  </w:style>
  <w:style w:type="paragraph" w:styleId="BalloonText">
    <w:name w:val="Balloon Text"/>
    <w:basedOn w:val="Normal"/>
    <w:link w:val="BalloonTextChar"/>
    <w:rsid w:val="004A7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144"/>
    <w:pPr>
      <w:spacing w:before="0" w:after="0"/>
    </w:pPr>
  </w:style>
  <w:style w:type="paragraph" w:customStyle="1" w:styleId="BodyTextBold">
    <w:name w:val="Body Text Bold"/>
    <w:basedOn w:val="BodyText"/>
    <w:qFormat/>
    <w:rsid w:val="004A7144"/>
    <w:rPr>
      <w:b/>
    </w:rPr>
  </w:style>
  <w:style w:type="character" w:styleId="Hyperlink">
    <w:name w:val="Hyperlink"/>
    <w:basedOn w:val="DefaultParagraphFont"/>
    <w:uiPriority w:val="99"/>
    <w:unhideWhenUsed/>
    <w:rsid w:val="00967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3477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MSL925003 Determine measurements of uncertainty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2021-10-27T23:11:00Z</dcterms:created>
  <dcterms:modified xsi:type="dcterms:W3CDTF">2021-10-27T23:11:00Z</dcterms:modified>
</cp:coreProperties>
</file>