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5EA7" w:rsidP="00725EA7">
      <w:pPr>
        <w:pStyle w:val="Title"/>
      </w:pPr>
      <w:r>
        <w:fldChar w:fldCharType="begin"/>
      </w:r>
      <w:r>
        <w:instrText xml:space="preserve"> TITLE   \* MERGEFORMAT </w:instrText>
      </w:r>
      <w:r>
        <w:fldChar w:fldCharType="separate"/>
      </w:r>
      <w:r>
        <w:t>MSL925002 Analyse measurements and estimate uncertainties</w:t>
      </w:r>
      <w:r>
        <w:fldChar w:fldCharType="end"/>
      </w:r>
    </w:p>
    <w:p w:rsidR="00725EA7" w:rsidP="00725EA7">
      <w:pPr>
        <w:pStyle w:val="Version"/>
        <w:sectPr w:rsidSect="00BD38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388C" w:rsidP="00BD388C">
      <w:pPr>
        <w:pStyle w:val="SuperHeading"/>
      </w:pPr>
      <w:r w:rsidRPr="00BD388C">
        <w:t>MSL925002 Analyse measurements and estimate uncertainties</w:t>
      </w:r>
    </w:p>
    <w:p w:rsidR="00000000" w:rsidRPr="00BD388C" w:rsidP="00BD388C">
      <w:pPr>
        <w:pStyle w:val="Heading1"/>
      </w:pPr>
      <w:bookmarkStart w:id="1" w:name="O_902693"/>
      <w:bookmarkEnd w:id="1"/>
      <w:r w:rsidRPr="00BD388C">
        <w:t>Modification History</w:t>
      </w:r>
    </w:p>
    <w:p w:rsidR="00000000" w:rsidRPr="00BD388C" w:rsidP="00725EA7">
      <w:pPr>
        <w:pStyle w:val="BodyText"/>
      </w:pPr>
      <w:r w:rsidRPr="00BD388C">
        <w:t>Release 1. Supersedes and is equivalent to MSL925002A Analyse measurements and estimate uncertainties</w:t>
      </w:r>
    </w:p>
    <w:p w:rsidR="00000000" w:rsidRPr="00BD388C" w:rsidP="00BD388C">
      <w:pPr>
        <w:pStyle w:val="Heading1"/>
      </w:pPr>
      <w:bookmarkStart w:id="2" w:name="O_902701"/>
      <w:bookmarkEnd w:id="2"/>
      <w:r w:rsidRPr="00BD388C">
        <w:t>Application</w:t>
      </w:r>
    </w:p>
    <w:p w:rsidR="00000000" w:rsidRPr="00BD388C" w:rsidP="00725EA7">
      <w:pPr>
        <w:pStyle w:val="BodyText"/>
      </w:pPr>
      <w:r w:rsidRPr="00BD388C">
        <w:t>This unit of competency covers the ability to use statistical analysis to estimate and r</w:t>
      </w:r>
      <w:r w:rsidRPr="00BD388C">
        <w:t>eport measurement uncertainty in accordance with the ISO Guide to the Expression of Uncertainty in Measurement (or its replacement Standard). Personnel are required to review their estimates of measurement uncertainty to assist with making decisions on the</w:t>
      </w:r>
      <w:r w:rsidRPr="00BD388C">
        <w:t xml:space="preserve"> fitness for purpose of the measurements.</w:t>
      </w:r>
    </w:p>
    <w:p w:rsidR="00000000" w:rsidRPr="00BD388C" w:rsidP="00725EA7">
      <w:pPr>
        <w:pStyle w:val="BodyText"/>
      </w:pPr>
      <w:r w:rsidRPr="00BD388C">
        <w:t>This unit of competency is applicable to laboratory personnel who work in calibration and testing facilities, process and interpret data and are required to determine uncertainties using standard methods. The rigo</w:t>
      </w:r>
      <w:r w:rsidRPr="00BD388C">
        <w:t xml:space="preserve">ur required in estimating uncertainty will depend on the required accuracy of the particular calibration, test or measurement. </w:t>
      </w:r>
    </w:p>
    <w:p w:rsidR="00000000" w:rsidRPr="00BD388C" w:rsidP="00725EA7">
      <w:pPr>
        <w:pStyle w:val="BodyText"/>
      </w:pPr>
      <w:r w:rsidRPr="00BD388C">
        <w:t xml:space="preserve">While no specific licensing or certification requirements apply to this unit at the time of publication, laboratory operations </w:t>
      </w:r>
      <w:r w:rsidRPr="00BD388C">
        <w:t>are governed by relevant legislation, regulations and/or external accreditation requirements. Local requirements should be checked.</w:t>
      </w:r>
    </w:p>
    <w:p w:rsidR="00000000" w:rsidRPr="00BD388C" w:rsidP="00BD388C">
      <w:pPr>
        <w:pStyle w:val="Heading1"/>
      </w:pPr>
      <w:bookmarkStart w:id="3" w:name="O_902700"/>
      <w:bookmarkEnd w:id="3"/>
      <w:r w:rsidRPr="00BD388C">
        <w:t>Pre-requisite Unit</w:t>
      </w:r>
    </w:p>
    <w:tbl>
      <w:tblPr>
        <w:tblW w:w="0" w:type="auto"/>
        <w:tblCellMar>
          <w:left w:w="62" w:type="dxa"/>
          <w:right w:w="62" w:type="dxa"/>
        </w:tblCellMar>
        <w:tblLook w:val="0000"/>
      </w:tblPr>
      <w:tblGrid>
        <w:gridCol w:w="2705"/>
        <w:gridCol w:w="6491"/>
      </w:tblGrid>
      <w:tr w:rsidTr="00725E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t>MSL924001</w:t>
            </w:r>
          </w:p>
        </w:tc>
        <w:tc>
          <w:tcPr>
            <w:tcW w:w="0" w:type="auto"/>
            <w:tcBorders>
              <w:top w:val="nil"/>
              <w:left w:val="nil"/>
              <w:bottom w:val="nil"/>
              <w:right w:val="nil"/>
            </w:tcBorders>
            <w:tcMar>
              <w:top w:w="0" w:type="dxa"/>
              <w:left w:w="62" w:type="dxa"/>
              <w:bottom w:w="0" w:type="dxa"/>
              <w:right w:w="62" w:type="dxa"/>
            </w:tcMar>
          </w:tcPr>
          <w:p w:rsidR="00000000" w:rsidRPr="00BD388C" w:rsidP="00BD388C">
            <w:pPr>
              <w:pStyle w:val="BodyText"/>
            </w:pPr>
            <w:r w:rsidRPr="00BD388C">
              <w:t>Process and interpret data</w:t>
            </w:r>
          </w:p>
        </w:tc>
      </w:tr>
    </w:tbl>
    <w:p w:rsidR="00000000" w:rsidRPr="00BD388C" w:rsidP="00BD388C">
      <w:pPr>
        <w:pStyle w:val="BodyText"/>
      </w:pPr>
    </w:p>
    <w:p w:rsidR="00000000" w:rsidRPr="00BD388C" w:rsidP="00BD388C">
      <w:pPr>
        <w:pStyle w:val="AllowPageBreak"/>
      </w:pPr>
    </w:p>
    <w:p w:rsidR="00000000" w:rsidRPr="00BD388C" w:rsidP="00BD388C">
      <w:pPr>
        <w:pStyle w:val="Heading1"/>
      </w:pPr>
      <w:bookmarkStart w:id="4" w:name="O_902699"/>
      <w:bookmarkEnd w:id="4"/>
      <w:r w:rsidRPr="00BD388C">
        <w:t>Competency Field</w:t>
      </w:r>
    </w:p>
    <w:p w:rsidR="00000000" w:rsidRPr="00BD388C" w:rsidP="00725EA7">
      <w:pPr>
        <w:pStyle w:val="BodyText"/>
      </w:pPr>
      <w:r w:rsidRPr="00BD388C">
        <w:t xml:space="preserve">Data </w:t>
      </w:r>
    </w:p>
    <w:p w:rsidR="00000000" w:rsidRPr="00BD388C" w:rsidP="00BD388C">
      <w:pPr>
        <w:pStyle w:val="Heading1"/>
      </w:pPr>
      <w:bookmarkStart w:id="5" w:name="O_902698"/>
      <w:bookmarkEnd w:id="5"/>
      <w:r w:rsidRPr="00BD388C">
        <w:t>Unit Sector</w:t>
      </w:r>
    </w:p>
    <w:p w:rsidR="00000000" w:rsidRPr="00BD388C" w:rsidP="00BD388C">
      <w:pPr>
        <w:pStyle w:val="Heading1"/>
      </w:pPr>
      <w:bookmarkStart w:id="6" w:name="O_902697"/>
      <w:bookmarkEnd w:id="6"/>
      <w:r w:rsidRPr="00BD388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D388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t>Performance criteria describe the performance needed to demonstrate achievement of the element.</w:t>
            </w:r>
          </w:p>
        </w:tc>
      </w:tr>
      <w:tr w:rsidTr="00BD38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D388C" w:rsidP="00BD388C">
            <w:pPr>
              <w:pStyle w:val="BodyText"/>
            </w:pPr>
            <w:r w:rsidRPr="00BD388C">
              <w:t>1</w:t>
            </w:r>
          </w:p>
        </w:tc>
        <w:tc>
          <w:tcPr>
            <w:tcW w:w="1962" w:type="dxa"/>
            <w:vMerge w:val="restart"/>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rPr>
                <w:rStyle w:val="SpecialBold"/>
              </w:rPr>
              <w:t xml:space="preserve">Identify the </w:t>
            </w:r>
            <w:r w:rsidRPr="00BD388C">
              <w:rPr>
                <w:rStyle w:val="SpecialBold"/>
              </w:rPr>
              <w:t>measured quantity and the uncertainty components</w:t>
            </w:r>
          </w:p>
        </w:tc>
        <w:tc>
          <w:tcPr>
            <w:tcW w:w="770" w:type="dxa"/>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t>1.1</w:t>
            </w:r>
          </w:p>
        </w:tc>
        <w:tc>
          <w:tcPr>
            <w:tcW w:w="5610" w:type="dxa"/>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t>Specify an equation for the measurement</w:t>
            </w:r>
          </w:p>
        </w:tc>
      </w:tr>
      <w:tr w:rsidTr="00BD38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t>1.2</w:t>
            </w:r>
          </w:p>
        </w:tc>
        <w:tc>
          <w:tcPr>
            <w:tcW w:w="5610" w:type="dxa"/>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t>List uncertainty components that are associated with each input in the equation</w:t>
            </w:r>
          </w:p>
        </w:tc>
      </w:tr>
      <w:tr w:rsidTr="00BD388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D388C">
            <w:pPr>
              <w:pStyle w:val="BodyText"/>
              <w:rPr>
                <w:lang w:val="en-NZ"/>
              </w:rPr>
            </w:pPr>
          </w:p>
        </w:tc>
      </w:tr>
      <w:tr w:rsidTr="00BD38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D388C" w:rsidP="00BD388C">
            <w:pPr>
              <w:pStyle w:val="BodyText"/>
            </w:pPr>
            <w:r w:rsidRPr="00BD388C">
              <w:t>2</w:t>
            </w:r>
          </w:p>
        </w:tc>
        <w:tc>
          <w:tcPr>
            <w:tcW w:w="1962" w:type="dxa"/>
            <w:vMerge w:val="restart"/>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rPr>
                <w:rStyle w:val="SpecialBold"/>
              </w:rPr>
              <w:t>Determine the size of each uncertainty component</w:t>
            </w:r>
          </w:p>
        </w:tc>
        <w:tc>
          <w:tcPr>
            <w:tcW w:w="770" w:type="dxa"/>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t>2.1</w:t>
            </w:r>
          </w:p>
        </w:tc>
        <w:tc>
          <w:tcPr>
            <w:tcW w:w="5610" w:type="dxa"/>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t>Calculate the standard deviations and standard deviation of the mean from the measurement results</w:t>
            </w:r>
          </w:p>
        </w:tc>
      </w:tr>
      <w:tr w:rsidTr="00BD38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t>2.2</w:t>
            </w:r>
          </w:p>
        </w:tc>
        <w:tc>
          <w:tcPr>
            <w:tcW w:w="5610" w:type="dxa"/>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t>Use calibrati</w:t>
            </w:r>
            <w:r w:rsidRPr="00BD388C">
              <w:t>on reports, manufacturer</w:t>
            </w:r>
            <w:r>
              <w:t>’</w:t>
            </w:r>
            <w:r w:rsidRPr="00BD388C">
              <w:t>s specifications, quality control and validation data, and experimental data to collect other available information on the uncertainty components</w:t>
            </w:r>
          </w:p>
        </w:tc>
      </w:tr>
      <w:tr w:rsidTr="00BD388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D388C">
            <w:pPr>
              <w:pStyle w:val="BodyText"/>
              <w:rPr>
                <w:lang w:val="en-NZ"/>
              </w:rPr>
            </w:pPr>
          </w:p>
        </w:tc>
      </w:tr>
      <w:tr w:rsidTr="00BD38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D388C" w:rsidP="00BD388C">
            <w:pPr>
              <w:pStyle w:val="BodyText"/>
            </w:pPr>
            <w:r w:rsidRPr="00BD388C">
              <w:t>3</w:t>
            </w:r>
          </w:p>
        </w:tc>
        <w:tc>
          <w:tcPr>
            <w:tcW w:w="1962" w:type="dxa"/>
            <w:vMerge w:val="restart"/>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rPr>
                <w:rStyle w:val="SpecialBold"/>
              </w:rPr>
              <w:t>Reduce each uncertainty component to a standard uncertainty</w:t>
            </w:r>
          </w:p>
        </w:tc>
        <w:tc>
          <w:tcPr>
            <w:tcW w:w="770" w:type="dxa"/>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t>3.1</w:t>
            </w:r>
          </w:p>
        </w:tc>
        <w:tc>
          <w:tcPr>
            <w:tcW w:w="5610" w:type="dxa"/>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t>Allocate an appropriate distribution for each uncertainty component</w:t>
            </w:r>
          </w:p>
        </w:tc>
      </w:tr>
      <w:tr w:rsidTr="00BD38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t>3.2</w:t>
            </w:r>
          </w:p>
        </w:tc>
        <w:tc>
          <w:tcPr>
            <w:tcW w:w="5610" w:type="dxa"/>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t>Calculate the standard uncertainties</w:t>
            </w:r>
          </w:p>
        </w:tc>
      </w:tr>
      <w:tr w:rsidTr="00BD388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D388C">
            <w:pPr>
              <w:pStyle w:val="BodyText"/>
              <w:rPr>
                <w:lang w:val="en-NZ"/>
              </w:rPr>
            </w:pPr>
          </w:p>
        </w:tc>
      </w:tr>
      <w:tr w:rsidTr="00BD38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D388C" w:rsidP="00BD388C">
            <w:pPr>
              <w:pStyle w:val="BodyText"/>
            </w:pPr>
            <w:r w:rsidRPr="00BD388C">
              <w:t>4</w:t>
            </w:r>
          </w:p>
        </w:tc>
        <w:tc>
          <w:tcPr>
            <w:tcW w:w="1962" w:type="dxa"/>
            <w:vMerge w:val="restart"/>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rPr>
                <w:rStyle w:val="SpecialBold"/>
              </w:rPr>
              <w:t>Calculate an expanded uncertainty to the required confidence level</w:t>
            </w:r>
          </w:p>
        </w:tc>
        <w:tc>
          <w:tcPr>
            <w:tcW w:w="770" w:type="dxa"/>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t>4.1</w:t>
            </w:r>
          </w:p>
        </w:tc>
        <w:tc>
          <w:tcPr>
            <w:tcW w:w="5610" w:type="dxa"/>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t>Calculate the sensitivity coeffic</w:t>
            </w:r>
            <w:r w:rsidRPr="00BD388C">
              <w:t>ient for each uncertainty component</w:t>
            </w:r>
          </w:p>
        </w:tc>
      </w:tr>
      <w:tr w:rsidTr="00BD38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t>4.2</w:t>
            </w:r>
          </w:p>
        </w:tc>
        <w:tc>
          <w:tcPr>
            <w:tcW w:w="5610" w:type="dxa"/>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t>Calculate a combined standard uncertainty</w:t>
            </w:r>
          </w:p>
        </w:tc>
      </w:tr>
      <w:tr w:rsidTr="00BD38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t>4.3</w:t>
            </w:r>
          </w:p>
        </w:tc>
        <w:tc>
          <w:tcPr>
            <w:tcW w:w="5610" w:type="dxa"/>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t>Determine an appropriate coverage factor based on the degrees of freedom associated with each uncertainty component</w:t>
            </w:r>
          </w:p>
        </w:tc>
      </w:tr>
      <w:tr w:rsidTr="00BD38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t>4.4</w:t>
            </w:r>
          </w:p>
        </w:tc>
        <w:tc>
          <w:tcPr>
            <w:tcW w:w="5610" w:type="dxa"/>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t>Calculate the expanded uncertainty</w:t>
            </w:r>
          </w:p>
        </w:tc>
      </w:tr>
      <w:tr w:rsidTr="00BD388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D388C">
            <w:pPr>
              <w:pStyle w:val="BodyText"/>
              <w:rPr>
                <w:lang w:val="en-NZ"/>
              </w:rPr>
            </w:pPr>
          </w:p>
        </w:tc>
      </w:tr>
      <w:tr w:rsidTr="00BD38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D388C" w:rsidP="00BD388C">
            <w:pPr>
              <w:pStyle w:val="BodyText"/>
            </w:pPr>
            <w:r w:rsidRPr="00BD388C">
              <w:t>5</w:t>
            </w:r>
          </w:p>
        </w:tc>
        <w:tc>
          <w:tcPr>
            <w:tcW w:w="1962" w:type="dxa"/>
            <w:vMerge w:val="restart"/>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rPr>
                <w:rStyle w:val="SpecialBold"/>
              </w:rPr>
              <w:t>Report the expanded uncertainty</w:t>
            </w:r>
          </w:p>
        </w:tc>
        <w:tc>
          <w:tcPr>
            <w:tcW w:w="770" w:type="dxa"/>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t>5.1</w:t>
            </w:r>
          </w:p>
        </w:tc>
        <w:tc>
          <w:tcPr>
            <w:tcW w:w="5610" w:type="dxa"/>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t>Report the result and uncertainty to an appropriate number of significant figures</w:t>
            </w:r>
          </w:p>
        </w:tc>
      </w:tr>
      <w:tr w:rsidTr="00BD38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t>5.2</w:t>
            </w:r>
          </w:p>
        </w:tc>
        <w:tc>
          <w:tcPr>
            <w:tcW w:w="5610" w:type="dxa"/>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t>Report the confidence level and coverage factor</w:t>
            </w:r>
          </w:p>
        </w:tc>
      </w:tr>
      <w:tr w:rsidTr="00BD38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t>5.3</w:t>
            </w:r>
          </w:p>
        </w:tc>
        <w:tc>
          <w:tcPr>
            <w:tcW w:w="5610" w:type="dxa"/>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t>Determine the appropriateness of the size of the expanded unce</w:t>
            </w:r>
            <w:r w:rsidRPr="00BD388C">
              <w:t>rtainty relative to the tolerance or required accuracy of the test</w:t>
            </w:r>
          </w:p>
        </w:tc>
      </w:tr>
      <w:tr w:rsidTr="00BD38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t>5.4</w:t>
            </w:r>
          </w:p>
        </w:tc>
        <w:tc>
          <w:tcPr>
            <w:tcW w:w="5610" w:type="dxa"/>
            <w:tcBorders>
              <w:top w:val="nil"/>
              <w:left w:val="nil"/>
              <w:bottom w:val="nil"/>
              <w:right w:val="nil"/>
            </w:tcBorders>
            <w:tcMar>
              <w:top w:w="0" w:type="dxa"/>
              <w:left w:w="62" w:type="dxa"/>
              <w:bottom w:w="0" w:type="dxa"/>
              <w:right w:w="62" w:type="dxa"/>
            </w:tcMar>
          </w:tcPr>
          <w:p w:rsidR="00000000" w:rsidRPr="00BD388C" w:rsidP="00BD388C">
            <w:pPr>
              <w:pStyle w:val="BodyText"/>
            </w:pPr>
            <w:r w:rsidRPr="00BD388C">
              <w:t>Determine the fitness for purpose of the expanded uncertainty relative to the use of the measurement result</w:t>
            </w:r>
          </w:p>
        </w:tc>
      </w:tr>
    </w:tbl>
    <w:p w:rsidR="00000000" w:rsidRPr="00BD388C" w:rsidP="00BD388C">
      <w:pPr>
        <w:pStyle w:val="BodyText"/>
      </w:pPr>
    </w:p>
    <w:p w:rsidR="00000000" w:rsidRPr="00BD388C" w:rsidP="00BD388C">
      <w:pPr>
        <w:pStyle w:val="AllowPageBreak"/>
      </w:pPr>
    </w:p>
    <w:p w:rsidR="00000000" w:rsidRPr="00BD388C" w:rsidP="00BD388C">
      <w:pPr>
        <w:pStyle w:val="Heading1"/>
      </w:pPr>
      <w:bookmarkStart w:id="7" w:name="O_902696"/>
      <w:bookmarkEnd w:id="7"/>
      <w:r w:rsidRPr="00BD388C">
        <w:t>Foundation Skills</w:t>
      </w:r>
    </w:p>
    <w:p w:rsidR="00000000" w:rsidRPr="00BD388C" w:rsidP="00725EA7">
      <w:pPr>
        <w:pStyle w:val="BodyText"/>
      </w:pPr>
      <w:r w:rsidRPr="00BD388C">
        <w:t>This section describes those language</w:t>
      </w:r>
      <w:r w:rsidRPr="00BD388C">
        <w:t>, literacy, numeracy and employment skills that are essential to performance.</w:t>
      </w:r>
    </w:p>
    <w:p w:rsidR="00000000" w:rsidRPr="00BD388C" w:rsidP="00725EA7">
      <w:pPr>
        <w:pStyle w:val="BodyText"/>
      </w:pPr>
      <w:r w:rsidRPr="00BD388C">
        <w:t>Foundation skills essential to performance are explicit in the performance criteria of this unit of competency.</w:t>
      </w:r>
    </w:p>
    <w:p w:rsidR="00000000" w:rsidRPr="00BD388C" w:rsidP="00BD388C">
      <w:pPr>
        <w:pStyle w:val="Heading1"/>
      </w:pPr>
      <w:bookmarkStart w:id="8" w:name="O_902695"/>
      <w:bookmarkEnd w:id="8"/>
      <w:r w:rsidRPr="00BD388C">
        <w:t>Range of Conditions</w:t>
      </w:r>
    </w:p>
    <w:tbl>
      <w:tblPr>
        <w:tblW w:w="0" w:type="auto"/>
        <w:tblCellMar>
          <w:left w:w="62" w:type="dxa"/>
          <w:right w:w="62" w:type="dxa"/>
        </w:tblCellMar>
        <w:tblLook w:val="0000"/>
      </w:tblPr>
      <w:tblGrid>
        <w:gridCol w:w="2163"/>
        <w:gridCol w:w="7033"/>
      </w:tblGrid>
      <w:tr w:rsidTr="00725EA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t>This field allows for differ</w:t>
            </w:r>
            <w:r w:rsidRPr="00BD388C">
              <w:t>ent work environments and conditions that may affect performance. Essential operating conditions that may be present (depending on the work situation, needs of the candidate, accessibility of the item, and local industry and regional contexts) are included</w:t>
            </w:r>
            <w:r w:rsidRPr="00BD388C">
              <w:t>.</w:t>
            </w:r>
          </w:p>
        </w:tc>
      </w:tr>
      <w:tr w:rsidTr="00725E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BD388C" w:rsidP="00BD388C">
            <w:pPr>
              <w:pStyle w:val="BodyText"/>
            </w:pPr>
            <w:r w:rsidRPr="00BD388C">
              <w:t>Standards, codes, procedures and/or enterprise requirements include the latest version of one or more of:</w:t>
            </w:r>
          </w:p>
          <w:p w:rsidR="00000000" w:rsidRPr="00BD388C" w:rsidP="00BD388C">
            <w:pPr>
              <w:pStyle w:val="ListBullet"/>
            </w:pPr>
            <w:r w:rsidRPr="00BD388C">
              <w:t>Australian and international standards and guides, such as:</w:t>
            </w:r>
          </w:p>
          <w:p w:rsidR="00000000" w:rsidRPr="00BD388C" w:rsidP="00BD388C">
            <w:pPr>
              <w:pStyle w:val="ListBullet2"/>
            </w:pPr>
            <w:r w:rsidRPr="00BD388C">
              <w:t>competency requirements for testing and calibration laboratories, quality management and measurement management</w:t>
            </w:r>
          </w:p>
          <w:p w:rsidR="00000000" w:rsidRPr="00BD388C" w:rsidP="00BD388C">
            <w:pPr>
              <w:pStyle w:val="ListBullet2"/>
            </w:pPr>
            <w:r w:rsidRPr="00BD388C">
              <w:t>ISO 5725 Accuracy (trueness and precision) of measurement methods and results</w:t>
            </w:r>
          </w:p>
          <w:p w:rsidR="00000000" w:rsidRPr="00BD388C" w:rsidP="00BD388C">
            <w:pPr>
              <w:pStyle w:val="ListBullet2"/>
            </w:pPr>
            <w:r w:rsidRPr="00BD388C">
              <w:t xml:space="preserve">ISO/IEC Guide 98-3:2008 Uncertainty of Measurement - Part 3 Guide </w:t>
            </w:r>
            <w:r w:rsidRPr="00BD388C">
              <w:t xml:space="preserve">to the Expression of Uncertainty in Measurement </w:t>
            </w:r>
          </w:p>
          <w:p w:rsidR="00000000" w:rsidRPr="00BD388C" w:rsidP="00BD388C">
            <w:pPr>
              <w:pStyle w:val="ListBullet2"/>
            </w:pPr>
            <w:r w:rsidRPr="00BD388C">
              <w:t>Eurachem/CITAC Guide CG4 Quantifying uncertainty in analytical measurement, Eurolab technical report and Nordtest</w:t>
            </w:r>
          </w:p>
          <w:p w:rsidR="00000000" w:rsidRPr="00BD388C" w:rsidP="00BD388C">
            <w:pPr>
              <w:pStyle w:val="ListBullet"/>
            </w:pPr>
            <w:r w:rsidRPr="00BD388C">
              <w:t xml:space="preserve">National Association of Testing Authorities (NATA) accreditation program requirements </w:t>
            </w:r>
            <w:r w:rsidRPr="00BD388C">
              <w:t>and NATA technical notes</w:t>
            </w:r>
          </w:p>
          <w:p w:rsidR="00000000" w:rsidRPr="00BD388C" w:rsidP="00BD388C">
            <w:pPr>
              <w:pStyle w:val="ListBullet"/>
            </w:pPr>
            <w:r w:rsidRPr="00BD388C">
              <w:t>national measurement regulations and guidelines</w:t>
            </w:r>
          </w:p>
          <w:p w:rsidR="00000000" w:rsidRPr="00BD388C" w:rsidP="00BD388C">
            <w:pPr>
              <w:pStyle w:val="ListBullet"/>
            </w:pPr>
            <w:r w:rsidRPr="00BD388C">
              <w:t>Australian codes, such as of good manufacturing practice for medicinal products (GMP), and principles of good laboratory practice (GLP)</w:t>
            </w:r>
          </w:p>
          <w:p w:rsidR="00000000" w:rsidRPr="00BD388C" w:rsidP="00BD388C">
            <w:pPr>
              <w:pStyle w:val="ListBullet"/>
            </w:pPr>
            <w:r w:rsidRPr="00BD388C">
              <w:t>workplace documents, such as quality manual, cu</w:t>
            </w:r>
            <w:r w:rsidRPr="00BD388C">
              <w:t>stomer quality plan, equipment manuals and warranty, supplier catalogues and handbooks</w:t>
            </w:r>
          </w:p>
          <w:p w:rsidR="00000000" w:rsidRPr="00BD388C" w:rsidP="00BD388C">
            <w:pPr>
              <w:pStyle w:val="ListBullet"/>
            </w:pPr>
            <w:r w:rsidRPr="00BD388C">
              <w:t>validated sampling and test procedures</w:t>
            </w:r>
          </w:p>
          <w:p w:rsidR="00000000" w:rsidP="00BD388C">
            <w:pPr>
              <w:pStyle w:val="BodyText"/>
              <w:rPr>
                <w:lang w:val="en-NZ"/>
              </w:rPr>
            </w:pPr>
          </w:p>
        </w:tc>
      </w:tr>
      <w:tr w:rsidTr="00725E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rPr>
                <w:rStyle w:val="SpecialBold"/>
              </w:rPr>
              <w:t>Data</w:t>
            </w:r>
          </w:p>
        </w:tc>
        <w:tc>
          <w:tcPr>
            <w:tcW w:w="0" w:type="auto"/>
            <w:tcBorders>
              <w:top w:val="nil"/>
              <w:left w:val="nil"/>
              <w:bottom w:val="nil"/>
              <w:right w:val="nil"/>
            </w:tcBorders>
            <w:tcMar>
              <w:top w:w="0" w:type="dxa"/>
              <w:left w:w="62" w:type="dxa"/>
              <w:bottom w:w="0" w:type="dxa"/>
              <w:right w:w="62" w:type="dxa"/>
            </w:tcMar>
          </w:tcPr>
          <w:p w:rsidR="00000000" w:rsidRPr="00BD388C" w:rsidP="00BD388C">
            <w:pPr>
              <w:pStyle w:val="BodyText"/>
            </w:pPr>
            <w:r w:rsidRPr="00BD388C">
              <w:t>Data includes:</w:t>
            </w:r>
          </w:p>
          <w:p w:rsidR="00000000" w:rsidRPr="00BD388C" w:rsidP="00BD388C">
            <w:pPr>
              <w:pStyle w:val="ListBullet"/>
            </w:pPr>
            <w:r w:rsidRPr="00BD388C">
              <w:t>worksheets, spreadsheets or databases linked to information management systems</w:t>
            </w:r>
          </w:p>
          <w:p w:rsidR="00000000" w:rsidRPr="00BD388C" w:rsidP="00BD388C">
            <w:pPr>
              <w:pStyle w:val="ListBullet"/>
            </w:pPr>
            <w:r w:rsidRPr="00BD388C">
              <w:t>the results of tests, measurements and analyses</w:t>
            </w:r>
          </w:p>
          <w:p w:rsidR="00000000" w:rsidP="00BD388C">
            <w:pPr>
              <w:pStyle w:val="ListBullet"/>
              <w:rPr>
                <w:lang w:val="en-NZ"/>
              </w:rPr>
            </w:pPr>
          </w:p>
        </w:tc>
      </w:tr>
      <w:tr w:rsidTr="00725E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rPr>
                <w:rStyle w:val="SpecialBold"/>
              </w:rPr>
              <w:t xml:space="preserve">Records </w:t>
            </w:r>
          </w:p>
        </w:tc>
        <w:tc>
          <w:tcPr>
            <w:tcW w:w="0" w:type="auto"/>
            <w:tcBorders>
              <w:top w:val="nil"/>
              <w:left w:val="nil"/>
              <w:bottom w:val="nil"/>
              <w:right w:val="nil"/>
            </w:tcBorders>
            <w:tcMar>
              <w:top w:w="0" w:type="dxa"/>
              <w:left w:w="62" w:type="dxa"/>
              <w:bottom w:w="0" w:type="dxa"/>
              <w:right w:w="62" w:type="dxa"/>
            </w:tcMar>
          </w:tcPr>
          <w:p w:rsidR="00000000" w:rsidRPr="00BD388C" w:rsidP="00BD388C">
            <w:pPr>
              <w:pStyle w:val="BodyText"/>
            </w:pPr>
            <w:r w:rsidRPr="00BD388C">
              <w:t>Records include information associated with one or more of:</w:t>
            </w:r>
          </w:p>
          <w:p w:rsidR="00000000" w:rsidRPr="00BD388C" w:rsidP="00BD388C">
            <w:pPr>
              <w:pStyle w:val="ListBullet"/>
            </w:pPr>
            <w:r w:rsidRPr="00BD388C">
              <w:t>purchase of equipment and materials and service records</w:t>
            </w:r>
          </w:p>
          <w:p w:rsidR="00000000" w:rsidRPr="00BD388C" w:rsidP="00BD388C">
            <w:pPr>
              <w:pStyle w:val="ListBullet"/>
            </w:pPr>
            <w:r w:rsidRPr="00BD388C">
              <w:t>manufacturer datasheets</w:t>
            </w:r>
          </w:p>
          <w:p w:rsidR="00000000" w:rsidRPr="00BD388C" w:rsidP="00BD388C">
            <w:pPr>
              <w:pStyle w:val="ListBullet"/>
            </w:pPr>
            <w:r w:rsidRPr="00BD388C">
              <w:t>calibration reports</w:t>
            </w:r>
          </w:p>
          <w:p w:rsidR="00000000" w:rsidRPr="00BD388C" w:rsidP="00BD388C">
            <w:pPr>
              <w:pStyle w:val="ListBullet"/>
            </w:pPr>
            <w:r w:rsidRPr="00BD388C">
              <w:t>history of calibration and test resu</w:t>
            </w:r>
            <w:r w:rsidRPr="00BD388C">
              <w:t>lts</w:t>
            </w:r>
          </w:p>
          <w:p w:rsidR="00000000" w:rsidP="00BD388C">
            <w:pPr>
              <w:pStyle w:val="BodyText"/>
              <w:rPr>
                <w:lang w:val="en-NZ"/>
              </w:rPr>
            </w:pPr>
          </w:p>
        </w:tc>
      </w:tr>
      <w:tr w:rsidTr="00725E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388C">
            <w:pPr>
              <w:pStyle w:val="BodyText"/>
              <w:rPr>
                <w:lang w:val="en-NZ"/>
              </w:rPr>
            </w:pPr>
            <w:r w:rsidRPr="00BD388C">
              <w:rPr>
                <w:rStyle w:val="SpecialBold"/>
              </w:rPr>
              <w:t>Work health and safety (OHS) and environmental management requirements</w:t>
            </w:r>
          </w:p>
        </w:tc>
        <w:tc>
          <w:tcPr>
            <w:tcW w:w="0" w:type="auto"/>
            <w:tcBorders>
              <w:top w:val="nil"/>
              <w:left w:val="nil"/>
              <w:bottom w:val="nil"/>
              <w:right w:val="nil"/>
            </w:tcBorders>
            <w:tcMar>
              <w:top w:w="0" w:type="dxa"/>
              <w:left w:w="62" w:type="dxa"/>
              <w:bottom w:w="0" w:type="dxa"/>
              <w:right w:w="62" w:type="dxa"/>
            </w:tcMar>
          </w:tcPr>
          <w:p w:rsidR="00000000" w:rsidRPr="00BD388C" w:rsidP="00BD388C">
            <w:pPr>
              <w:pStyle w:val="BodyText"/>
            </w:pPr>
            <w:r w:rsidRPr="00BD388C">
              <w:t>WHS and environmental management requirements include:</w:t>
            </w:r>
          </w:p>
          <w:p w:rsidR="00000000" w:rsidRPr="00BD388C" w:rsidP="00BD388C">
            <w:pPr>
              <w:pStyle w:val="BodyText"/>
            </w:pPr>
            <w:r w:rsidRPr="00BD388C">
              <w:rPr>
                <w:rStyle w:val="Symbols"/>
              </w:rPr>
              <w:t></w:t>
            </w:r>
            <w:r w:rsidRPr="00BD388C">
              <w:rPr>
                <w:rStyle w:val="Symbols"/>
              </w:rPr>
              <w:tab/>
            </w:r>
            <w:r w:rsidRPr="00BD388C">
              <w:t>complying with WHS and environmental management requirements at all times, which may be imposed through state/territory or</w:t>
            </w:r>
            <w:r w:rsidRPr="00BD388C">
              <w:t xml:space="preserve"> federal legislation. These requirements must not be compromised at any time</w:t>
            </w:r>
          </w:p>
          <w:p w:rsidR="00000000" w:rsidRPr="00BD388C" w:rsidP="00BD388C">
            <w:pPr>
              <w:pStyle w:val="BodyText"/>
            </w:pPr>
            <w:r w:rsidRPr="00BD388C">
              <w:rPr>
                <w:rStyle w:val="Symbols"/>
              </w:rPr>
              <w:t></w:t>
            </w:r>
            <w:r w:rsidRPr="00BD388C">
              <w:rPr>
                <w:rStyle w:val="Symbols"/>
              </w:rPr>
              <w:tab/>
            </w:r>
            <w:r w:rsidRPr="00BD388C">
              <w:t>applying standard precautions relating to the potentially hazardous nature of samples</w:t>
            </w:r>
          </w:p>
          <w:p w:rsidR="00000000" w:rsidRPr="00BD388C" w:rsidP="00BD388C">
            <w:pPr>
              <w:pStyle w:val="ListBullet"/>
            </w:pPr>
            <w:r w:rsidRPr="00BD388C">
              <w:t xml:space="preserve">accessing and applying current industry understanding of infection control issued by </w:t>
            </w:r>
            <w:r w:rsidRPr="00BD388C">
              <w:t>the National Health and Medical Research Council (NHMRC) and State and Territory Departments of Health, where relevant</w:t>
            </w:r>
          </w:p>
        </w:tc>
      </w:tr>
    </w:tbl>
    <w:p w:rsidR="00725EA7" w:rsidP="00BD388C">
      <w:pPr>
        <w:pStyle w:val="BodyText"/>
      </w:pPr>
    </w:p>
    <w:p w:rsidR="00725EA7" w:rsidP="00BD388C">
      <w:pPr>
        <w:pStyle w:val="BodyText"/>
      </w:pPr>
    </w:p>
    <w:p w:rsidR="00000000" w:rsidRPr="00BD388C" w:rsidP="00BD388C">
      <w:pPr>
        <w:pStyle w:val="Heading1"/>
      </w:pPr>
      <w:bookmarkStart w:id="9" w:name="O_902694"/>
      <w:bookmarkEnd w:id="9"/>
      <w:r w:rsidRPr="00BD388C">
        <w:t>Unit Mapping Information</w:t>
      </w:r>
    </w:p>
    <w:p w:rsidR="00000000" w:rsidRPr="00BD388C" w:rsidP="00725EA7">
      <w:pPr>
        <w:pStyle w:val="BodyText"/>
      </w:pPr>
      <w:r w:rsidRPr="00BD388C">
        <w:t>Release 1. Supersedes and is equivalent to MSL925002A Analyse measurements and estimate uncertainties</w:t>
      </w:r>
    </w:p>
    <w:p w:rsidR="00000000" w:rsidRPr="00BD388C" w:rsidP="00BD388C">
      <w:pPr>
        <w:pStyle w:val="Heading1"/>
      </w:pPr>
      <w:bookmarkStart w:id="10" w:name="O_902687"/>
      <w:bookmarkEnd w:id="10"/>
      <w:r w:rsidRPr="00BD388C">
        <w:t>Links</w:t>
      </w:r>
    </w:p>
    <w:p w:rsidR="00000000" w:rsidRPr="00BD388C" w:rsidP="00725EA7">
      <w:pPr>
        <w:pStyle w:val="BodyText"/>
      </w:pPr>
      <w:r w:rsidRPr="00BD388C">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5F7F0F">
        <w:rPr>
          <w:rStyle w:val="Hyperlink"/>
        </w:rPr>
        <w:t>https://vetnet.gov.au/Pages/TrainingDocs.aspx?q=5c63a03b-4a6b-4ae5-9560-1e3c5f462baa</w:t>
      </w:r>
      <w:r>
        <w:fldChar w:fldCharType="end"/>
      </w:r>
    </w:p>
    <w:p w:rsidR="00000000" w:rsidRPr="00BD388C" w:rsidP="00BD388C"/>
    <w:sectPr w:rsidSect="00BD38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8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88C" w:rsidRPr="00725EA7" w:rsidP="00725E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8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EA7" w:rsidP="00BD38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5EA7" w:rsidP="00BD388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25EA7" w:rsidP="00BD38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8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E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388C" w:rsidRPr="00725EA7" w:rsidP="00725E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8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EA7" w:rsidRPr="002D2AF8" w:rsidP="00BD388C">
    <w:pPr>
      <w:pStyle w:val="Header"/>
      <w:framePr w:wrap="around"/>
    </w:pPr>
    <w:r>
      <w:fldChar w:fldCharType="begin"/>
    </w:r>
    <w:r>
      <w:instrText xml:space="preserve"> TITLE   \* MERGEFORMAT </w:instrText>
    </w:r>
    <w:r>
      <w:fldChar w:fldCharType="separate"/>
    </w:r>
    <w:r>
      <w:t>MSL925002 Analyse measurements and estimate uncertainties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725EA7" w:rsidP="00BD38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8AFA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5081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66C8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8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388C"/>
    <w:pPr>
      <w:spacing w:before="360" w:after="60"/>
      <w:outlineLvl w:val="0"/>
    </w:pPr>
    <w:rPr>
      <w:sz w:val="32"/>
    </w:rPr>
  </w:style>
  <w:style w:type="paragraph" w:styleId="Heading2">
    <w:name w:val="heading 2"/>
    <w:basedOn w:val="HeadingBase"/>
    <w:next w:val="BodyText"/>
    <w:link w:val="Heading2Char"/>
    <w:qFormat/>
    <w:rsid w:val="00BD388C"/>
    <w:pPr>
      <w:keepLines/>
      <w:spacing w:before="240" w:after="120"/>
      <w:outlineLvl w:val="1"/>
    </w:pPr>
    <w:rPr>
      <w:sz w:val="28"/>
      <w:szCs w:val="40"/>
    </w:rPr>
  </w:style>
  <w:style w:type="paragraph" w:styleId="Heading3">
    <w:name w:val="heading 3"/>
    <w:basedOn w:val="HeadingBase"/>
    <w:next w:val="BodyText"/>
    <w:link w:val="Heading3Char"/>
    <w:qFormat/>
    <w:rsid w:val="00BD388C"/>
    <w:pPr>
      <w:spacing w:before="180" w:after="120"/>
      <w:outlineLvl w:val="2"/>
    </w:pPr>
    <w:rPr>
      <w:spacing w:val="-10"/>
      <w:kern w:val="32"/>
    </w:rPr>
  </w:style>
  <w:style w:type="paragraph" w:styleId="Heading4">
    <w:name w:val="heading 4"/>
    <w:basedOn w:val="HeadingBase"/>
    <w:next w:val="BodyText"/>
    <w:link w:val="Heading4Char"/>
    <w:qFormat/>
    <w:rsid w:val="00BD388C"/>
    <w:pPr>
      <w:spacing w:before="160" w:after="120"/>
      <w:outlineLvl w:val="3"/>
    </w:pPr>
    <w:rPr>
      <w:sz w:val="22"/>
    </w:rPr>
  </w:style>
  <w:style w:type="paragraph" w:styleId="Heading5">
    <w:name w:val="heading 5"/>
    <w:basedOn w:val="HeadingBase"/>
    <w:next w:val="Normal"/>
    <w:link w:val="Heading5Char"/>
    <w:qFormat/>
    <w:rsid w:val="00BD388C"/>
    <w:pPr>
      <w:spacing w:before="80"/>
      <w:outlineLvl w:val="4"/>
    </w:pPr>
    <w:rPr>
      <w:color w:val="918585"/>
      <w:sz w:val="20"/>
    </w:rPr>
  </w:style>
  <w:style w:type="paragraph" w:styleId="Heading6">
    <w:name w:val="heading 6"/>
    <w:basedOn w:val="HeadingBase"/>
    <w:next w:val="Normal"/>
    <w:link w:val="Heading6Char"/>
    <w:qFormat/>
    <w:rsid w:val="00BD388C"/>
    <w:pPr>
      <w:spacing w:before="60"/>
      <w:outlineLvl w:val="5"/>
    </w:pPr>
    <w:rPr>
      <w:color w:val="918585"/>
      <w:sz w:val="20"/>
    </w:rPr>
  </w:style>
  <w:style w:type="paragraph" w:styleId="Heading7">
    <w:name w:val="heading 7"/>
    <w:basedOn w:val="Normal"/>
    <w:next w:val="Normal"/>
    <w:link w:val="Heading7Char"/>
    <w:qFormat/>
    <w:rsid w:val="00BD388C"/>
    <w:pPr>
      <w:ind w:left="720"/>
      <w:outlineLvl w:val="6"/>
    </w:pPr>
    <w:rPr>
      <w:i/>
    </w:rPr>
  </w:style>
  <w:style w:type="paragraph" w:styleId="Heading8">
    <w:name w:val="heading 8"/>
    <w:basedOn w:val="Normal"/>
    <w:next w:val="Normal"/>
    <w:link w:val="Heading8Char"/>
    <w:qFormat/>
    <w:rsid w:val="00BD388C"/>
    <w:pPr>
      <w:ind w:left="720"/>
      <w:outlineLvl w:val="7"/>
    </w:pPr>
    <w:rPr>
      <w:i/>
    </w:rPr>
  </w:style>
  <w:style w:type="paragraph" w:styleId="Heading9">
    <w:name w:val="heading 9"/>
    <w:basedOn w:val="Normal"/>
    <w:next w:val="Normal"/>
    <w:link w:val="Heading9Char"/>
    <w:qFormat/>
    <w:rsid w:val="00BD388C"/>
    <w:pPr>
      <w:ind w:left="720"/>
      <w:outlineLvl w:val="8"/>
    </w:pPr>
    <w:rPr>
      <w:i/>
    </w:rPr>
  </w:style>
  <w:style w:type="character" w:default="1" w:styleId="DefaultParagraphFont">
    <w:name w:val="Default Paragraph Font"/>
    <w:uiPriority w:val="1"/>
    <w:unhideWhenUsed/>
    <w:rsid w:val="00BD38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388C"/>
  </w:style>
  <w:style w:type="character" w:customStyle="1" w:styleId="Heading1Char">
    <w:name w:val="Heading 1 Char"/>
    <w:basedOn w:val="DefaultParagraphFont"/>
    <w:link w:val="Heading1"/>
    <w:rsid w:val="00BD388C"/>
    <w:rPr>
      <w:rFonts w:ascii="Times New Roman" w:eastAsia="Times New Roman" w:hAnsi="Times New Roman" w:cs="Times New Roman"/>
      <w:b/>
      <w:sz w:val="32"/>
      <w:szCs w:val="20"/>
      <w:lang w:eastAsia="en-US"/>
    </w:rPr>
  </w:style>
  <w:style w:type="paragraph" w:styleId="BodyText">
    <w:name w:val="Body Text"/>
    <w:basedOn w:val="Normal"/>
    <w:link w:val="BodyTextChar"/>
    <w:rsid w:val="00BD38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388C"/>
    <w:rPr>
      <w:rFonts w:ascii="Times New Roman" w:eastAsia="Times New Roman" w:hAnsi="Times New Roman" w:cs="Times New Roman"/>
      <w:sz w:val="24"/>
      <w:lang w:eastAsia="en-US"/>
    </w:rPr>
  </w:style>
  <w:style w:type="paragraph" w:styleId="ListBullet">
    <w:name w:val="List Bullet"/>
    <w:basedOn w:val="List"/>
    <w:rsid w:val="00BD388C"/>
    <w:pPr>
      <w:numPr>
        <w:numId w:val="12"/>
      </w:numPr>
      <w:tabs>
        <w:tab w:val="clear" w:pos="340"/>
      </w:tabs>
      <w:spacing w:before="40" w:after="40"/>
    </w:pPr>
  </w:style>
  <w:style w:type="character" w:customStyle="1" w:styleId="SpecialBold">
    <w:name w:val="Special Bold"/>
    <w:basedOn w:val="DefaultParagraphFont"/>
    <w:rsid w:val="00BD388C"/>
    <w:rPr>
      <w:b/>
      <w:spacing w:val="0"/>
    </w:rPr>
  </w:style>
  <w:style w:type="paragraph" w:styleId="ListBullet2">
    <w:name w:val="List Bullet 2"/>
    <w:basedOn w:val="List2"/>
    <w:rsid w:val="00BD388C"/>
    <w:pPr>
      <w:numPr>
        <w:numId w:val="13"/>
      </w:numPr>
      <w:tabs>
        <w:tab w:val="clear" w:pos="680"/>
      </w:tabs>
    </w:pPr>
  </w:style>
  <w:style w:type="paragraph" w:customStyle="1" w:styleId="SuperHeading">
    <w:name w:val="SuperHeading"/>
    <w:basedOn w:val="Normal"/>
    <w:rsid w:val="00BD388C"/>
    <w:pPr>
      <w:spacing w:before="240" w:after="120"/>
      <w:outlineLvl w:val="0"/>
    </w:pPr>
    <w:rPr>
      <w:rFonts w:ascii="Times New Roman" w:hAnsi="Times New Roman"/>
      <w:b/>
      <w:sz w:val="32"/>
    </w:rPr>
  </w:style>
  <w:style w:type="paragraph" w:customStyle="1" w:styleId="AllowPageBreak">
    <w:name w:val="AllowPageBreak"/>
    <w:rsid w:val="00BD38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BD388C"/>
    <w:rPr>
      <w:rFonts w:ascii="Symbol" w:hAnsi="Symbol"/>
    </w:rPr>
  </w:style>
  <w:style w:type="character" w:customStyle="1" w:styleId="Heading2Char">
    <w:name w:val="Heading 2 Char"/>
    <w:basedOn w:val="DefaultParagraphFont"/>
    <w:link w:val="Heading2"/>
    <w:rsid w:val="00BD38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38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38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38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38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38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38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388C"/>
    <w:rPr>
      <w:rFonts w:ascii="Courier New" w:eastAsia="Times New Roman" w:hAnsi="Courier New" w:cs="Times New Roman"/>
      <w:i/>
      <w:szCs w:val="20"/>
      <w:lang w:eastAsia="en-US"/>
    </w:rPr>
  </w:style>
  <w:style w:type="paragraph" w:customStyle="1" w:styleId="HeadingBase">
    <w:name w:val="Heading Base"/>
    <w:rsid w:val="00BD38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388C"/>
    <w:pPr>
      <w:tabs>
        <w:tab w:val="right" w:leader="dot" w:pos="9072"/>
      </w:tabs>
      <w:ind w:left="567"/>
    </w:pPr>
    <w:rPr>
      <w:szCs w:val="22"/>
    </w:rPr>
  </w:style>
  <w:style w:type="paragraph" w:customStyle="1" w:styleId="TOCBase">
    <w:name w:val="TOC Base"/>
    <w:rsid w:val="00BD38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388C"/>
    <w:pPr>
      <w:tabs>
        <w:tab w:val="right" w:leader="dot" w:pos="9072"/>
      </w:tabs>
      <w:spacing w:before="40" w:after="40"/>
      <w:ind w:left="284"/>
    </w:pPr>
    <w:rPr>
      <w:rFonts w:ascii="Times New Roman" w:hAnsi="Times New Roman"/>
    </w:rPr>
  </w:style>
  <w:style w:type="paragraph" w:styleId="TOC1">
    <w:name w:val="toc 1"/>
    <w:basedOn w:val="TOCBase"/>
    <w:next w:val="Normal"/>
    <w:rsid w:val="00BD38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38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388C"/>
    <w:rPr>
      <w:rFonts w:ascii="Times New Roman" w:eastAsia="Times New Roman" w:hAnsi="Times New Roman" w:cs="Times New Roman"/>
      <w:sz w:val="16"/>
      <w:lang w:eastAsia="en-US"/>
    </w:rPr>
  </w:style>
  <w:style w:type="paragraph" w:styleId="Title">
    <w:name w:val="Title"/>
    <w:basedOn w:val="HeadingBase"/>
    <w:link w:val="TitleChar"/>
    <w:qFormat/>
    <w:rsid w:val="00BD388C"/>
    <w:pPr>
      <w:spacing w:before="5040"/>
      <w:jc w:val="center"/>
    </w:pPr>
    <w:rPr>
      <w:sz w:val="48"/>
      <w:szCs w:val="72"/>
      <w:lang w:val="en-US"/>
    </w:rPr>
  </w:style>
  <w:style w:type="character" w:customStyle="1" w:styleId="TitleChar">
    <w:name w:val="Title Char"/>
    <w:basedOn w:val="DefaultParagraphFont"/>
    <w:link w:val="Title"/>
    <w:rsid w:val="00BD38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388C"/>
    <w:pPr>
      <w:tabs>
        <w:tab w:val="left" w:pos="3600"/>
        <w:tab w:val="left" w:pos="3958"/>
      </w:tabs>
    </w:pPr>
  </w:style>
  <w:style w:type="paragraph" w:styleId="List">
    <w:name w:val="List"/>
    <w:basedOn w:val="BodyText"/>
    <w:next w:val="BodyText"/>
    <w:rsid w:val="00BD388C"/>
    <w:pPr>
      <w:tabs>
        <w:tab w:val="left" w:pos="340"/>
      </w:tabs>
      <w:spacing w:before="60" w:after="60"/>
      <w:ind w:left="340" w:hanging="340"/>
    </w:pPr>
  </w:style>
  <w:style w:type="paragraph" w:customStyle="1" w:styleId="Note">
    <w:name w:val="Note"/>
    <w:basedOn w:val="BodyText"/>
    <w:rsid w:val="00BD38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388C"/>
    <w:pPr>
      <w:framePr w:wrap="auto" w:hAnchor="text" w:y="6049"/>
    </w:pPr>
    <w:rPr>
      <w:color w:val="000000"/>
      <w:sz w:val="40"/>
    </w:rPr>
  </w:style>
  <w:style w:type="paragraph" w:customStyle="1" w:styleId="TOCTitle">
    <w:name w:val="TOCTitle"/>
    <w:basedOn w:val="Heading1"/>
    <w:rsid w:val="00BD388C"/>
    <w:pPr>
      <w:spacing w:after="240"/>
      <w:jc w:val="center"/>
      <w:outlineLvl w:val="9"/>
    </w:pPr>
    <w:rPr>
      <w:caps/>
    </w:rPr>
  </w:style>
  <w:style w:type="paragraph" w:customStyle="1" w:styleId="Version">
    <w:name w:val="Version"/>
    <w:rsid w:val="00BD38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388C"/>
    <w:pPr>
      <w:keepNext w:val="0"/>
      <w:tabs>
        <w:tab w:val="right" w:pos="4176"/>
      </w:tabs>
      <w:ind w:left="198" w:hanging="198"/>
    </w:pPr>
    <w:rPr>
      <w:rFonts w:ascii="Garamond" w:hAnsi="Garamond"/>
    </w:rPr>
  </w:style>
  <w:style w:type="paragraph" w:styleId="IndexHeading">
    <w:name w:val="index heading"/>
    <w:basedOn w:val="Normal"/>
    <w:next w:val="Index1"/>
    <w:semiHidden/>
    <w:rsid w:val="00BD388C"/>
    <w:pPr>
      <w:spacing w:before="120" w:after="120"/>
    </w:pPr>
    <w:rPr>
      <w:rFonts w:ascii="Arial" w:hAnsi="Arial"/>
      <w:b/>
      <w:color w:val="918585"/>
      <w:sz w:val="24"/>
    </w:rPr>
  </w:style>
  <w:style w:type="paragraph" w:styleId="Header">
    <w:name w:val="header"/>
    <w:basedOn w:val="Normal"/>
    <w:link w:val="HeaderChar"/>
    <w:rsid w:val="00BD38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388C"/>
    <w:rPr>
      <w:rFonts w:ascii="Times New Roman" w:eastAsia="Times New Roman" w:hAnsi="Times New Roman" w:cs="Times New Roman"/>
      <w:sz w:val="16"/>
      <w:szCs w:val="20"/>
      <w:lang w:val="en-GB" w:eastAsia="en-US"/>
    </w:rPr>
  </w:style>
  <w:style w:type="paragraph" w:customStyle="1" w:styleId="Chapter">
    <w:name w:val="Chapter"/>
    <w:basedOn w:val="Normal"/>
    <w:rsid w:val="00BD388C"/>
    <w:pPr>
      <w:spacing w:before="240"/>
    </w:pPr>
    <w:rPr>
      <w:rFonts w:ascii="Times New Roman" w:hAnsi="Times New Roman"/>
      <w:smallCaps/>
      <w:spacing w:val="80"/>
      <w:sz w:val="28"/>
    </w:rPr>
  </w:style>
  <w:style w:type="paragraph" w:customStyle="1" w:styleId="InChapter">
    <w:name w:val="InChapter"/>
    <w:basedOn w:val="Heading3"/>
    <w:rsid w:val="00BD388C"/>
    <w:pPr>
      <w:spacing w:after="240"/>
      <w:outlineLvl w:val="9"/>
    </w:pPr>
    <w:rPr>
      <w:noProof/>
    </w:rPr>
  </w:style>
  <w:style w:type="paragraph" w:styleId="Index2">
    <w:name w:val="index 2"/>
    <w:basedOn w:val="Normal"/>
    <w:next w:val="Normal"/>
    <w:semiHidden/>
    <w:rsid w:val="00BD388C"/>
    <w:pPr>
      <w:tabs>
        <w:tab w:val="right" w:pos="4176"/>
      </w:tabs>
      <w:ind w:left="568" w:hanging="284"/>
    </w:pPr>
    <w:rPr>
      <w:rFonts w:ascii="Garamond" w:hAnsi="Garamond"/>
    </w:rPr>
  </w:style>
  <w:style w:type="paragraph" w:customStyle="1" w:styleId="Byline">
    <w:name w:val="Byline"/>
    <w:rsid w:val="00BD38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388C"/>
    <w:pPr>
      <w:tabs>
        <w:tab w:val="clear" w:pos="3600"/>
        <w:tab w:val="clear" w:pos="3958"/>
      </w:tabs>
      <w:jc w:val="right"/>
    </w:pPr>
  </w:style>
  <w:style w:type="character" w:styleId="Emphasis">
    <w:name w:val="Emphasis"/>
    <w:basedOn w:val="DefaultParagraphFont"/>
    <w:qFormat/>
    <w:rsid w:val="00BD388C"/>
    <w:rPr>
      <w:i/>
    </w:rPr>
  </w:style>
  <w:style w:type="paragraph" w:styleId="Caption">
    <w:name w:val="caption"/>
    <w:basedOn w:val="BodyText"/>
    <w:next w:val="Normal"/>
    <w:qFormat/>
    <w:rsid w:val="00BD388C"/>
    <w:pPr>
      <w:framePr w:w="2268" w:hSpace="181" w:vSpace="181" w:wrap="around" w:vAnchor="text" w:hAnchor="page" w:x="1135" w:y="285" w:anchorLock="1"/>
    </w:pPr>
    <w:rPr>
      <w:i/>
    </w:rPr>
  </w:style>
  <w:style w:type="paragraph" w:customStyle="1" w:styleId="MiniTOCTitle">
    <w:name w:val="MiniTOCTitle"/>
    <w:basedOn w:val="Heading4"/>
    <w:rsid w:val="00BD388C"/>
    <w:pPr>
      <w:spacing w:before="240"/>
      <w:outlineLvl w:val="9"/>
    </w:pPr>
    <w:rPr>
      <w:noProof/>
      <w:sz w:val="24"/>
    </w:rPr>
  </w:style>
  <w:style w:type="paragraph" w:customStyle="1" w:styleId="MiniTOCItem">
    <w:name w:val="MiniTOCItem"/>
    <w:basedOn w:val="ListBullet"/>
    <w:rsid w:val="00BD388C"/>
    <w:pPr>
      <w:numPr>
        <w:numId w:val="0"/>
      </w:numPr>
      <w:tabs>
        <w:tab w:val="right" w:leader="dot" w:pos="6521"/>
      </w:tabs>
      <w:spacing w:before="0" w:after="0"/>
    </w:pPr>
  </w:style>
  <w:style w:type="paragraph" w:customStyle="1" w:styleId="TOFTitle">
    <w:name w:val="TOFTitle"/>
    <w:basedOn w:val="TOCTitle"/>
    <w:rsid w:val="00BD388C"/>
  </w:style>
  <w:style w:type="paragraph" w:styleId="TableofFigures">
    <w:name w:val="table of figures"/>
    <w:basedOn w:val="Normal"/>
    <w:next w:val="Normal"/>
    <w:semiHidden/>
    <w:rsid w:val="00BD388C"/>
    <w:pPr>
      <w:tabs>
        <w:tab w:val="right" w:leader="dot" w:pos="9072"/>
      </w:tabs>
      <w:ind w:left="970" w:hanging="403"/>
    </w:pPr>
    <w:rPr>
      <w:rFonts w:ascii="Times New Roman" w:hAnsi="Times New Roman"/>
      <w:b/>
    </w:rPr>
  </w:style>
  <w:style w:type="paragraph" w:styleId="ListNumber">
    <w:name w:val="List Number"/>
    <w:basedOn w:val="List"/>
    <w:rsid w:val="00BD388C"/>
    <w:pPr>
      <w:numPr>
        <w:numId w:val="15"/>
      </w:numPr>
      <w:tabs>
        <w:tab w:val="clear" w:pos="340"/>
      </w:tabs>
    </w:pPr>
  </w:style>
  <w:style w:type="character" w:customStyle="1" w:styleId="WingdingSymbols">
    <w:name w:val="Wingding Symbols"/>
    <w:rsid w:val="00BD388C"/>
    <w:rPr>
      <w:rFonts w:ascii="Wingdings" w:hAnsi="Wingdings"/>
    </w:rPr>
  </w:style>
  <w:style w:type="paragraph" w:customStyle="1" w:styleId="TableHeading">
    <w:name w:val="Table Heading"/>
    <w:basedOn w:val="HeadingBase"/>
    <w:rsid w:val="00BD388C"/>
    <w:pPr>
      <w:keepLines/>
      <w:pBdr>
        <w:bottom w:val="single" w:sz="6" w:space="1" w:color="918585"/>
      </w:pBdr>
      <w:spacing w:before="240"/>
    </w:pPr>
  </w:style>
  <w:style w:type="character" w:customStyle="1" w:styleId="HotSpot">
    <w:name w:val="HotSpot"/>
    <w:rsid w:val="00BD388C"/>
    <w:rPr>
      <w:color w:val="0033CC"/>
      <w:u w:val="none"/>
    </w:rPr>
  </w:style>
  <w:style w:type="paragraph" w:customStyle="1" w:styleId="BodyTextRight">
    <w:name w:val="Body Text Right"/>
    <w:basedOn w:val="BodyText"/>
    <w:rsid w:val="00BD388C"/>
    <w:pPr>
      <w:spacing w:before="0" w:after="0"/>
      <w:jc w:val="right"/>
    </w:pPr>
  </w:style>
  <w:style w:type="paragraph" w:styleId="Index3">
    <w:name w:val="index 3"/>
    <w:basedOn w:val="ListNumber2"/>
    <w:next w:val="Normal"/>
    <w:semiHidden/>
    <w:rsid w:val="00BD388C"/>
    <w:pPr>
      <w:numPr>
        <w:numId w:val="0"/>
      </w:numPr>
      <w:tabs>
        <w:tab w:val="right" w:leader="dot" w:pos="4176"/>
      </w:tabs>
    </w:pPr>
  </w:style>
  <w:style w:type="paragraph" w:styleId="ListNumber2">
    <w:name w:val="List Number 2"/>
    <w:basedOn w:val="List2"/>
    <w:rsid w:val="00BD388C"/>
    <w:pPr>
      <w:numPr>
        <w:numId w:val="10"/>
      </w:numPr>
      <w:tabs>
        <w:tab w:val="clear" w:pos="1060"/>
      </w:tabs>
    </w:pPr>
  </w:style>
  <w:style w:type="paragraph" w:customStyle="1" w:styleId="MarginNote">
    <w:name w:val="Margin Note"/>
    <w:basedOn w:val="BodyText"/>
    <w:rsid w:val="00BD38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38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38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388C"/>
    <w:rPr>
      <w:sz w:val="32"/>
    </w:rPr>
  </w:style>
  <w:style w:type="paragraph" w:customStyle="1" w:styleId="HeadingProcedure">
    <w:name w:val="Heading Procedure"/>
    <w:basedOn w:val="HeadingBase"/>
    <w:next w:val="Normal"/>
    <w:rsid w:val="00BD388C"/>
    <w:pPr>
      <w:tabs>
        <w:tab w:val="left" w:pos="0"/>
      </w:tabs>
      <w:spacing w:before="120" w:after="60"/>
    </w:pPr>
    <w:rPr>
      <w:i/>
      <w:color w:val="918585"/>
      <w:sz w:val="22"/>
    </w:rPr>
  </w:style>
  <w:style w:type="paragraph" w:customStyle="1" w:styleId="TableBodyText">
    <w:name w:val="Table Body Text"/>
    <w:basedOn w:val="BodyText"/>
    <w:rsid w:val="00BD388C"/>
    <w:pPr>
      <w:spacing w:before="60" w:after="60"/>
    </w:pPr>
  </w:style>
  <w:style w:type="paragraph" w:styleId="ListContinue">
    <w:name w:val="List Continue"/>
    <w:basedOn w:val="List"/>
    <w:rsid w:val="00BD388C"/>
    <w:pPr>
      <w:ind w:firstLine="0"/>
    </w:pPr>
  </w:style>
  <w:style w:type="paragraph" w:customStyle="1" w:styleId="ListNote">
    <w:name w:val="List Note"/>
    <w:basedOn w:val="List"/>
    <w:rsid w:val="00BD388C"/>
    <w:pPr>
      <w:pBdr>
        <w:top w:val="single" w:sz="6" w:space="2" w:color="918585"/>
        <w:bottom w:val="single" w:sz="6" w:space="2" w:color="918585"/>
      </w:pBdr>
      <w:tabs>
        <w:tab w:val="left" w:pos="1021"/>
      </w:tabs>
      <w:ind w:firstLine="0"/>
    </w:pPr>
  </w:style>
  <w:style w:type="paragraph" w:customStyle="1" w:styleId="Warning">
    <w:name w:val="Warning"/>
    <w:basedOn w:val="BodyText"/>
    <w:rsid w:val="00BD388C"/>
    <w:pPr>
      <w:shd w:val="clear" w:color="auto" w:fill="D9D9D9"/>
      <w:tabs>
        <w:tab w:val="left" w:pos="992"/>
      </w:tabs>
      <w:ind w:left="119" w:right="119"/>
    </w:pPr>
    <w:rPr>
      <w:sz w:val="20"/>
    </w:rPr>
  </w:style>
  <w:style w:type="paragraph" w:customStyle="1" w:styleId="MarginIcons">
    <w:name w:val="Margin Icons"/>
    <w:basedOn w:val="BodyText"/>
    <w:rsid w:val="00BD38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388C"/>
    <w:rPr>
      <w:rFonts w:ascii="Courier New" w:hAnsi="Courier New"/>
    </w:rPr>
  </w:style>
  <w:style w:type="paragraph" w:customStyle="1" w:styleId="NoteBullet">
    <w:name w:val="Note Bullet"/>
    <w:basedOn w:val="Note"/>
    <w:rsid w:val="00BD388C"/>
    <w:pPr>
      <w:tabs>
        <w:tab w:val="clear" w:pos="680"/>
      </w:tabs>
      <w:spacing w:before="60" w:after="60"/>
    </w:pPr>
  </w:style>
  <w:style w:type="paragraph" w:customStyle="1" w:styleId="SubHeading2">
    <w:name w:val="SubHeading2"/>
    <w:basedOn w:val="HeadingBase"/>
    <w:rsid w:val="00BD388C"/>
    <w:pPr>
      <w:spacing w:before="240" w:after="60"/>
    </w:pPr>
    <w:rPr>
      <w:sz w:val="20"/>
    </w:rPr>
  </w:style>
  <w:style w:type="paragraph" w:customStyle="1" w:styleId="SubHeading1">
    <w:name w:val="SubHeading1"/>
    <w:basedOn w:val="HeadingBase"/>
    <w:rsid w:val="00BD388C"/>
    <w:pPr>
      <w:spacing w:before="240" w:after="60"/>
    </w:pPr>
    <w:rPr>
      <w:color w:val="918585"/>
      <w:sz w:val="22"/>
    </w:rPr>
  </w:style>
  <w:style w:type="paragraph" w:customStyle="1" w:styleId="SideHeading">
    <w:name w:val="Side Heading"/>
    <w:basedOn w:val="HeadingBase"/>
    <w:rsid w:val="00BD38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388C"/>
    <w:pPr>
      <w:tabs>
        <w:tab w:val="num" w:pos="360"/>
      </w:tabs>
    </w:pPr>
  </w:style>
  <w:style w:type="paragraph" w:styleId="PlainText">
    <w:name w:val="Plain Text"/>
    <w:basedOn w:val="Normal"/>
    <w:link w:val="PlainTextChar"/>
    <w:rsid w:val="00BD388C"/>
    <w:rPr>
      <w:sz w:val="20"/>
    </w:rPr>
  </w:style>
  <w:style w:type="character" w:customStyle="1" w:styleId="PlainTextChar">
    <w:name w:val="Plain Text Char"/>
    <w:basedOn w:val="DefaultParagraphFont"/>
    <w:link w:val="PlainText"/>
    <w:rsid w:val="00BD388C"/>
    <w:rPr>
      <w:rFonts w:ascii="Courier New" w:eastAsia="Times New Roman" w:hAnsi="Courier New" w:cs="Times New Roman"/>
      <w:sz w:val="20"/>
      <w:szCs w:val="20"/>
      <w:lang w:eastAsia="en-US"/>
    </w:rPr>
  </w:style>
  <w:style w:type="character" w:customStyle="1" w:styleId="MenuOption">
    <w:name w:val="Menu Option"/>
    <w:basedOn w:val="DefaultParagraphFont"/>
    <w:rsid w:val="00BD388C"/>
    <w:rPr>
      <w:b/>
      <w:smallCaps/>
    </w:rPr>
  </w:style>
  <w:style w:type="paragraph" w:customStyle="1" w:styleId="TableListNumber">
    <w:name w:val="Table List Number"/>
    <w:basedOn w:val="ListNumber"/>
    <w:rsid w:val="00BD388C"/>
    <w:pPr>
      <w:numPr>
        <w:numId w:val="0"/>
      </w:numPr>
    </w:pPr>
  </w:style>
  <w:style w:type="paragraph" w:styleId="TOC4">
    <w:name w:val="toc 4"/>
    <w:basedOn w:val="TOCBase"/>
    <w:next w:val="Normal"/>
    <w:semiHidden/>
    <w:rsid w:val="00BD388C"/>
    <w:pPr>
      <w:tabs>
        <w:tab w:val="right" w:leader="dot" w:pos="9071"/>
      </w:tabs>
      <w:ind w:left="1701"/>
    </w:pPr>
  </w:style>
  <w:style w:type="paragraph" w:customStyle="1" w:styleId="ListAlpha">
    <w:name w:val="List Alpha"/>
    <w:basedOn w:val="List"/>
    <w:rsid w:val="00BD388C"/>
    <w:pPr>
      <w:numPr>
        <w:numId w:val="9"/>
      </w:numPr>
    </w:pPr>
  </w:style>
  <w:style w:type="paragraph" w:customStyle="1" w:styleId="ListAlpha2">
    <w:name w:val="List Alpha 2"/>
    <w:basedOn w:val="List2"/>
    <w:rsid w:val="00BD388C"/>
    <w:pPr>
      <w:numPr>
        <w:numId w:val="8"/>
      </w:numPr>
    </w:pPr>
  </w:style>
  <w:style w:type="paragraph" w:styleId="List2">
    <w:name w:val="List 2"/>
    <w:basedOn w:val="BodyText"/>
    <w:rsid w:val="00BD388C"/>
    <w:pPr>
      <w:tabs>
        <w:tab w:val="left" w:pos="680"/>
      </w:tabs>
      <w:spacing w:before="60" w:after="60"/>
      <w:ind w:left="680" w:hanging="340"/>
    </w:pPr>
  </w:style>
  <w:style w:type="paragraph" w:styleId="List3">
    <w:name w:val="List 3"/>
    <w:basedOn w:val="BodyText"/>
    <w:rsid w:val="00BD388C"/>
    <w:pPr>
      <w:tabs>
        <w:tab w:val="left" w:pos="1021"/>
      </w:tabs>
      <w:spacing w:before="60" w:after="60"/>
      <w:ind w:left="1020" w:hanging="340"/>
    </w:pPr>
  </w:style>
  <w:style w:type="paragraph" w:styleId="List4">
    <w:name w:val="List 4"/>
    <w:basedOn w:val="BodyText"/>
    <w:rsid w:val="00BD388C"/>
    <w:pPr>
      <w:tabs>
        <w:tab w:val="left" w:pos="1361"/>
      </w:tabs>
      <w:spacing w:before="60" w:after="60"/>
      <w:ind w:left="1361" w:hanging="340"/>
    </w:pPr>
  </w:style>
  <w:style w:type="paragraph" w:styleId="List5">
    <w:name w:val="List 5"/>
    <w:basedOn w:val="BodyText"/>
    <w:rsid w:val="00BD388C"/>
    <w:pPr>
      <w:tabs>
        <w:tab w:val="left" w:pos="1701"/>
      </w:tabs>
      <w:spacing w:before="60" w:after="60"/>
      <w:ind w:left="1701" w:hanging="340"/>
    </w:pPr>
  </w:style>
  <w:style w:type="paragraph" w:styleId="ListBullet3">
    <w:name w:val="List Bullet 3"/>
    <w:basedOn w:val="List3"/>
    <w:rsid w:val="00BD388C"/>
    <w:pPr>
      <w:numPr>
        <w:numId w:val="14"/>
      </w:numPr>
      <w:tabs>
        <w:tab w:val="clear" w:pos="1021"/>
      </w:tabs>
      <w:ind w:left="1037" w:hanging="357"/>
    </w:pPr>
  </w:style>
  <w:style w:type="paragraph" w:styleId="ListBullet4">
    <w:name w:val="List Bullet 4"/>
    <w:basedOn w:val="List4"/>
    <w:rsid w:val="00BD388C"/>
    <w:pPr>
      <w:numPr>
        <w:numId w:val="3"/>
      </w:numPr>
      <w:tabs>
        <w:tab w:val="clear" w:pos="1361"/>
      </w:tabs>
    </w:pPr>
  </w:style>
  <w:style w:type="paragraph" w:styleId="ListBullet5">
    <w:name w:val="List Bullet 5"/>
    <w:basedOn w:val="List5"/>
    <w:rsid w:val="00BD388C"/>
    <w:pPr>
      <w:numPr>
        <w:numId w:val="4"/>
      </w:numPr>
    </w:pPr>
  </w:style>
  <w:style w:type="paragraph" w:styleId="ListContinue2">
    <w:name w:val="List Continue 2"/>
    <w:basedOn w:val="List2"/>
    <w:rsid w:val="00BD388C"/>
    <w:pPr>
      <w:ind w:firstLine="0"/>
    </w:pPr>
  </w:style>
  <w:style w:type="paragraph" w:styleId="ListContinue3">
    <w:name w:val="List Continue 3"/>
    <w:basedOn w:val="List3"/>
    <w:rsid w:val="00BD388C"/>
    <w:pPr>
      <w:ind w:left="1021" w:firstLine="0"/>
    </w:pPr>
  </w:style>
  <w:style w:type="paragraph" w:styleId="ListContinue4">
    <w:name w:val="List Continue 4"/>
    <w:basedOn w:val="List4"/>
    <w:rsid w:val="00BD388C"/>
    <w:pPr>
      <w:ind w:firstLine="0"/>
    </w:pPr>
  </w:style>
  <w:style w:type="paragraph" w:styleId="ListContinue5">
    <w:name w:val="List Continue 5"/>
    <w:basedOn w:val="List5"/>
    <w:rsid w:val="00BD388C"/>
    <w:pPr>
      <w:ind w:firstLine="0"/>
    </w:pPr>
  </w:style>
  <w:style w:type="paragraph" w:styleId="ListNumber3">
    <w:name w:val="List Number 3"/>
    <w:basedOn w:val="List3"/>
    <w:rsid w:val="00BD388C"/>
    <w:pPr>
      <w:numPr>
        <w:numId w:val="5"/>
      </w:numPr>
    </w:pPr>
  </w:style>
  <w:style w:type="paragraph" w:styleId="ListNumber4">
    <w:name w:val="List Number 4"/>
    <w:basedOn w:val="List4"/>
    <w:rsid w:val="00BD388C"/>
    <w:pPr>
      <w:numPr>
        <w:numId w:val="6"/>
      </w:numPr>
    </w:pPr>
  </w:style>
  <w:style w:type="paragraph" w:styleId="ListNumber5">
    <w:name w:val="List Number 5"/>
    <w:basedOn w:val="List5"/>
    <w:rsid w:val="00BD388C"/>
    <w:pPr>
      <w:numPr>
        <w:numId w:val="7"/>
      </w:numPr>
    </w:pPr>
  </w:style>
  <w:style w:type="paragraph" w:styleId="BlockText">
    <w:name w:val="Block Text"/>
    <w:basedOn w:val="Normal"/>
    <w:rsid w:val="00BD388C"/>
    <w:pPr>
      <w:spacing w:after="120"/>
      <w:ind w:left="1440" w:right="1440"/>
    </w:pPr>
  </w:style>
  <w:style w:type="character" w:customStyle="1" w:styleId="Subscript">
    <w:name w:val="Subscript"/>
    <w:basedOn w:val="DefaultParagraphFont"/>
    <w:rsid w:val="00BD388C"/>
    <w:rPr>
      <w:sz w:val="16"/>
      <w:vertAlign w:val="subscript"/>
    </w:rPr>
  </w:style>
  <w:style w:type="character" w:customStyle="1" w:styleId="Superscript">
    <w:name w:val="Superscript"/>
    <w:basedOn w:val="DefaultParagraphFont"/>
    <w:rsid w:val="00BD388C"/>
    <w:rPr>
      <w:sz w:val="16"/>
      <w:vertAlign w:val="superscript"/>
    </w:rPr>
  </w:style>
  <w:style w:type="character" w:customStyle="1" w:styleId="MenuOptions">
    <w:name w:val="Menu Options"/>
    <w:basedOn w:val="DefaultParagraphFont"/>
    <w:rsid w:val="00BD388C"/>
    <w:rPr>
      <w:rFonts w:ascii="Arial Narrow" w:hAnsi="Arial Narrow"/>
      <w:smallCaps/>
    </w:rPr>
  </w:style>
  <w:style w:type="character" w:customStyle="1" w:styleId="Buttons">
    <w:name w:val="Buttons"/>
    <w:basedOn w:val="DefaultParagraphFont"/>
    <w:rsid w:val="00BD388C"/>
    <w:rPr>
      <w:b/>
    </w:rPr>
  </w:style>
  <w:style w:type="character" w:customStyle="1" w:styleId="Underlined">
    <w:name w:val="Underlined"/>
    <w:basedOn w:val="DefaultParagraphFont"/>
    <w:rsid w:val="00BD388C"/>
    <w:rPr>
      <w:u w:val="single"/>
    </w:rPr>
  </w:style>
  <w:style w:type="paragraph" w:customStyle="1" w:styleId="TableBodyTextRight">
    <w:name w:val="Table Body Text Right"/>
    <w:basedOn w:val="TableBodyText"/>
    <w:rsid w:val="00BD388C"/>
    <w:pPr>
      <w:widowControl w:val="0"/>
      <w:autoSpaceDE w:val="0"/>
      <w:autoSpaceDN w:val="0"/>
      <w:adjustRightInd w:val="0"/>
      <w:jc w:val="right"/>
    </w:pPr>
    <w:rPr>
      <w:rFonts w:cs="Arial"/>
      <w:szCs w:val="18"/>
    </w:rPr>
  </w:style>
  <w:style w:type="paragraph" w:customStyle="1" w:styleId="CopyrightText">
    <w:name w:val="Copyright Text"/>
    <w:basedOn w:val="BodyText"/>
    <w:rsid w:val="00BD388C"/>
    <w:rPr>
      <w:sz w:val="18"/>
    </w:rPr>
  </w:style>
  <w:style w:type="paragraph" w:customStyle="1" w:styleId="BodySmallRight">
    <w:name w:val="Body Small Right"/>
    <w:basedOn w:val="BodyTextRight"/>
    <w:rsid w:val="00BD388C"/>
    <w:rPr>
      <w:sz w:val="18"/>
      <w:szCs w:val="18"/>
    </w:rPr>
  </w:style>
  <w:style w:type="paragraph" w:customStyle="1" w:styleId="MarginEdition">
    <w:name w:val="Margin Edition"/>
    <w:basedOn w:val="MarginNote"/>
    <w:rsid w:val="00BD388C"/>
    <w:pPr>
      <w:spacing w:before="0" w:after="0"/>
    </w:pPr>
    <w:rPr>
      <w:rFonts w:ascii="Times New Roman" w:hAnsi="Times New Roman"/>
      <w:color w:val="999999"/>
    </w:rPr>
  </w:style>
  <w:style w:type="paragraph" w:customStyle="1" w:styleId="Spacer">
    <w:name w:val="Spacer"/>
    <w:basedOn w:val="Normal"/>
    <w:rsid w:val="00BD388C"/>
    <w:rPr>
      <w:sz w:val="2"/>
      <w:szCs w:val="2"/>
    </w:rPr>
  </w:style>
  <w:style w:type="character" w:customStyle="1" w:styleId="Small">
    <w:name w:val="Small"/>
    <w:basedOn w:val="DefaultParagraphFont"/>
    <w:rsid w:val="00BD388C"/>
    <w:rPr>
      <w:sz w:val="16"/>
    </w:rPr>
  </w:style>
  <w:style w:type="paragraph" w:customStyle="1" w:styleId="WideTable">
    <w:name w:val="Wide Table"/>
    <w:basedOn w:val="Normal"/>
    <w:rsid w:val="00BD388C"/>
    <w:pPr>
      <w:ind w:left="-1418"/>
    </w:pPr>
    <w:rPr>
      <w:sz w:val="2"/>
      <w:szCs w:val="2"/>
    </w:rPr>
  </w:style>
  <w:style w:type="character" w:styleId="PageNumber">
    <w:name w:val="page number"/>
    <w:basedOn w:val="DefaultParagraphFont"/>
    <w:rsid w:val="00BD388C"/>
  </w:style>
  <w:style w:type="paragraph" w:styleId="Quote">
    <w:name w:val="Quote"/>
    <w:basedOn w:val="Heading1"/>
    <w:link w:val="QuoteChar"/>
    <w:qFormat/>
    <w:rsid w:val="00BD388C"/>
    <w:rPr>
      <w:b w:val="0"/>
      <w:sz w:val="72"/>
      <w:szCs w:val="72"/>
      <w:lang w:val="en-NZ"/>
    </w:rPr>
  </w:style>
  <w:style w:type="character" w:customStyle="1" w:styleId="QuoteChar">
    <w:name w:val="Quote Char"/>
    <w:basedOn w:val="DefaultParagraphFont"/>
    <w:link w:val="Quote"/>
    <w:rsid w:val="00BD38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388C"/>
    <w:pPr>
      <w:pageBreakBefore/>
    </w:pPr>
  </w:style>
  <w:style w:type="paragraph" w:customStyle="1" w:styleId="Border">
    <w:name w:val="Border"/>
    <w:basedOn w:val="Normal"/>
    <w:qFormat/>
    <w:rsid w:val="00BD38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388C"/>
    <w:rPr>
      <w:b/>
      <w:bCs/>
      <w:i/>
      <w:iCs/>
      <w:color w:val="auto"/>
    </w:rPr>
  </w:style>
  <w:style w:type="paragraph" w:styleId="IntenseQuote">
    <w:name w:val="Intense Quote"/>
    <w:basedOn w:val="Normal"/>
    <w:next w:val="Normal"/>
    <w:link w:val="IntenseQuoteChar"/>
    <w:uiPriority w:val="30"/>
    <w:qFormat/>
    <w:rsid w:val="00BD38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38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388C"/>
    <w:rPr>
      <w:smallCaps/>
      <w:color w:val="auto"/>
      <w:u w:val="single"/>
    </w:rPr>
  </w:style>
  <w:style w:type="character" w:styleId="IntenseReference">
    <w:name w:val="Intense Reference"/>
    <w:basedOn w:val="DefaultParagraphFont"/>
    <w:uiPriority w:val="32"/>
    <w:qFormat/>
    <w:rsid w:val="00BD388C"/>
    <w:rPr>
      <w:b/>
      <w:bCs/>
      <w:smallCaps/>
      <w:color w:val="auto"/>
      <w:spacing w:val="5"/>
      <w:u w:val="single"/>
    </w:rPr>
  </w:style>
  <w:style w:type="paragraph" w:customStyle="1" w:styleId="2ColumnHeading">
    <w:name w:val="2Column Heading"/>
    <w:basedOn w:val="BodyText"/>
    <w:qFormat/>
    <w:rsid w:val="00BD388C"/>
    <w:pPr>
      <w:spacing w:after="60"/>
      <w:ind w:left="-2268"/>
    </w:pPr>
    <w:rPr>
      <w:b/>
    </w:rPr>
  </w:style>
  <w:style w:type="paragraph" w:customStyle="1" w:styleId="Heading1TOC">
    <w:name w:val="Heading1 TOC"/>
    <w:basedOn w:val="Normal"/>
    <w:qFormat/>
    <w:rsid w:val="00BD388C"/>
    <w:pPr>
      <w:spacing w:before="240" w:after="120"/>
    </w:pPr>
    <w:rPr>
      <w:rFonts w:ascii="Times New Roman" w:hAnsi="Times New Roman"/>
      <w:b/>
      <w:sz w:val="32"/>
    </w:rPr>
  </w:style>
  <w:style w:type="paragraph" w:customStyle="1" w:styleId="Heading2TOC">
    <w:name w:val="Heading2 TOC"/>
    <w:basedOn w:val="Normal"/>
    <w:qFormat/>
    <w:rsid w:val="00BD388C"/>
    <w:pPr>
      <w:spacing w:before="240" w:after="60"/>
    </w:pPr>
    <w:rPr>
      <w:rFonts w:ascii="Times New Roman" w:hAnsi="Times New Roman"/>
      <w:b/>
      <w:sz w:val="28"/>
    </w:rPr>
  </w:style>
  <w:style w:type="character" w:customStyle="1" w:styleId="Underline">
    <w:name w:val="Underline"/>
    <w:basedOn w:val="DefaultParagraphFont"/>
    <w:qFormat/>
    <w:rsid w:val="00BD388C"/>
    <w:rPr>
      <w:u w:val="single"/>
    </w:rPr>
  </w:style>
  <w:style w:type="character" w:customStyle="1" w:styleId="BoldandItalics">
    <w:name w:val="Bold and Italics"/>
    <w:qFormat/>
    <w:rsid w:val="00BD388C"/>
    <w:rPr>
      <w:b/>
      <w:i/>
      <w:u w:val="none"/>
    </w:rPr>
  </w:style>
  <w:style w:type="paragraph" w:styleId="BalloonText">
    <w:name w:val="Balloon Text"/>
    <w:basedOn w:val="Normal"/>
    <w:link w:val="BalloonTextChar"/>
    <w:rsid w:val="00BD388C"/>
    <w:rPr>
      <w:rFonts w:ascii="Tahoma" w:hAnsi="Tahoma" w:cs="Tahoma"/>
      <w:sz w:val="16"/>
      <w:szCs w:val="16"/>
    </w:rPr>
  </w:style>
  <w:style w:type="character" w:customStyle="1" w:styleId="BalloonTextChar">
    <w:name w:val="Balloon Text Char"/>
    <w:basedOn w:val="DefaultParagraphFont"/>
    <w:link w:val="BalloonText"/>
    <w:rsid w:val="00BD38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38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38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388C"/>
    <w:rPr>
      <w:b/>
      <w:color w:val="660033"/>
      <w:spacing w:val="0"/>
    </w:rPr>
  </w:style>
  <w:style w:type="paragraph" w:customStyle="1" w:styleId="Nameditemlist">
    <w:name w:val="Named item list"/>
    <w:basedOn w:val="BodyText"/>
    <w:qFormat/>
    <w:rsid w:val="00BD388C"/>
    <w:pPr>
      <w:tabs>
        <w:tab w:val="left" w:pos="2835"/>
      </w:tabs>
      <w:ind w:left="2835" w:hanging="2835"/>
    </w:pPr>
  </w:style>
  <w:style w:type="paragraph" w:customStyle="1" w:styleId="BodyTextnopadding">
    <w:name w:val="Body Text no padding"/>
    <w:basedOn w:val="BodyText"/>
    <w:qFormat/>
    <w:rsid w:val="00BD388C"/>
    <w:pPr>
      <w:spacing w:before="0" w:after="0"/>
    </w:pPr>
  </w:style>
  <w:style w:type="paragraph" w:customStyle="1" w:styleId="BodyTextBold">
    <w:name w:val="Body Text Bold"/>
    <w:basedOn w:val="BodyText"/>
    <w:qFormat/>
    <w:rsid w:val="00BD388C"/>
    <w:rPr>
      <w:b/>
    </w:rPr>
  </w:style>
  <w:style w:type="character" w:styleId="Hyperlink">
    <w:name w:val="Hyperlink"/>
    <w:basedOn w:val="DefaultParagraphFont"/>
    <w:uiPriority w:val="99"/>
    <w:unhideWhenUsed/>
    <w:rsid w:val="00725E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813</Words>
  <Characters>5315</Characters>
  <Application>Microsoft Office Word</Application>
  <DocSecurity>0</DocSecurity>
  <Lines>212</Lines>
  <Paragraphs>109</Paragraphs>
  <ScaleCrop>false</ScaleCrop>
  <Company>Author-it Software Corporation Ltd.</Company>
  <LinksUpToDate>false</LinksUpToDate>
  <CharactersWithSpaces>6019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MSL925002 Analyse measurements and estimate uncertainties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2022-04-03T12:58:00Z</dcterms:created>
  <dcterms:modified xsi:type="dcterms:W3CDTF">2022-04-03T12:58:00Z</dcterms:modified>
</cp:coreProperties>
</file>