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5AF5" w:rsidP="00A15A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MSL925002 Analyse measurements and estimate uncertainties</w:t>
      </w:r>
      <w:r>
        <w:fldChar w:fldCharType="end"/>
      </w:r>
    </w:p>
    <w:p w:rsidR="00A15AF5" w:rsidP="00A15AF5">
      <w:pPr>
        <w:pStyle w:val="Version"/>
        <w:sectPr w:rsidSect="00EA47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479B" w:rsidP="00EA479B">
      <w:pPr>
        <w:pStyle w:val="SuperHeading"/>
      </w:pPr>
      <w:r w:rsidRPr="00EA479B">
        <w:t>Assessment Requirements for MSL925002 Analyse measurements and estimate uncertainties</w:t>
      </w:r>
    </w:p>
    <w:p w:rsidR="00000000" w:rsidRPr="00EA479B" w:rsidP="00EA479B">
      <w:pPr>
        <w:pStyle w:val="Heading1"/>
      </w:pPr>
      <w:bookmarkStart w:id="1" w:name="O_902689"/>
      <w:bookmarkEnd w:id="1"/>
      <w:r w:rsidRPr="00EA479B">
        <w:t>Modification History</w:t>
      </w:r>
    </w:p>
    <w:p w:rsidR="00000000" w:rsidRPr="00EA479B" w:rsidP="00A15AF5">
      <w:pPr>
        <w:pStyle w:val="BodyText"/>
      </w:pPr>
      <w:r w:rsidRPr="00EA479B">
        <w:t>Release 1. Supersedes and is equivalent to MSL925002A Analyse measurements and estimate uncertainties</w:t>
      </w:r>
    </w:p>
    <w:p w:rsidR="00000000" w:rsidRPr="00EA479B" w:rsidP="00EA479B">
      <w:pPr>
        <w:pStyle w:val="Heading1"/>
      </w:pPr>
      <w:bookmarkStart w:id="2" w:name="O_902692"/>
      <w:bookmarkEnd w:id="2"/>
      <w:r w:rsidRPr="00EA479B">
        <w:t>Performance Evidence</w:t>
      </w:r>
    </w:p>
    <w:p w:rsidR="00000000" w:rsidRPr="00EA479B" w:rsidP="00A15AF5">
      <w:pPr>
        <w:pStyle w:val="BodyText"/>
      </w:pPr>
      <w:r w:rsidRPr="00EA479B">
        <w:t>Evidence of competence in this unit must satisfy all of the requirements of the elements and performance criteria, and include demonstration of:</w:t>
      </w:r>
    </w:p>
    <w:p w:rsidR="00000000" w:rsidRPr="00EA479B" w:rsidP="00EA479B">
      <w:pPr>
        <w:pStyle w:val="ListBullet"/>
      </w:pPr>
      <w:r w:rsidRPr="00EA479B">
        <w:t>using scientific notation, correct units and correct number of significant figures</w:t>
      </w:r>
    </w:p>
    <w:p w:rsidR="00000000" w:rsidRPr="00EA479B" w:rsidP="00EA479B">
      <w:pPr>
        <w:pStyle w:val="ListBullet"/>
      </w:pPr>
      <w:r w:rsidRPr="00EA479B">
        <w:t>evalua</w:t>
      </w:r>
      <w:r w:rsidRPr="00EA479B">
        <w:t>ting formulae containing powers, exponents and logarithms functions</w:t>
      </w:r>
    </w:p>
    <w:p w:rsidR="00000000" w:rsidRPr="00EA479B" w:rsidP="00EA479B">
      <w:pPr>
        <w:pStyle w:val="ListBullet"/>
      </w:pPr>
      <w:r w:rsidRPr="00EA479B">
        <w:t>preparing and interpreting linear graphs</w:t>
      </w:r>
    </w:p>
    <w:p w:rsidR="00000000" w:rsidRPr="00EA479B" w:rsidP="00EA479B">
      <w:pPr>
        <w:pStyle w:val="ListBullet"/>
      </w:pPr>
      <w:r w:rsidRPr="00EA479B">
        <w:t xml:space="preserve">using statistical analysis to estimate and report measurement uncertainty in accordance with the </w:t>
      </w:r>
      <w:r w:rsidRPr="00EA479B">
        <w:rPr>
          <w:rStyle w:val="Emphasis"/>
        </w:rPr>
        <w:t>ISO</w:t>
      </w:r>
      <w:r w:rsidRPr="00EA479B">
        <w:t xml:space="preserve"> </w:t>
      </w:r>
      <w:r w:rsidRPr="00EA479B">
        <w:rPr>
          <w:rStyle w:val="Emphasis"/>
        </w:rPr>
        <w:t>Guide to the Expression of Uncertainty in Meas</w:t>
      </w:r>
      <w:r w:rsidRPr="00EA479B">
        <w:rPr>
          <w:rStyle w:val="Emphasis"/>
        </w:rPr>
        <w:t xml:space="preserve">urement </w:t>
      </w:r>
    </w:p>
    <w:p w:rsidR="00000000" w:rsidRPr="00EA479B" w:rsidP="00EA479B">
      <w:pPr>
        <w:pStyle w:val="ListBullet"/>
      </w:pPr>
      <w:r w:rsidRPr="00EA479B">
        <w:t>preparing a fully documented, realistic uncertainty budget that is appropriate for the application</w:t>
      </w:r>
    </w:p>
    <w:p w:rsidR="00000000" w:rsidRPr="00EA479B" w:rsidP="00EA479B">
      <w:pPr>
        <w:pStyle w:val="ListBullet"/>
      </w:pPr>
      <w:r w:rsidRPr="00EA479B">
        <w:t>calculating a combined standard uncertainty using root-sum-of-squares, accounting for correlations where necessary</w:t>
      </w:r>
    </w:p>
    <w:p w:rsidR="00000000" w:rsidRPr="00EA479B" w:rsidP="00EA479B">
      <w:pPr>
        <w:pStyle w:val="ListBullet"/>
      </w:pPr>
      <w:r w:rsidRPr="00EA479B">
        <w:t>gathering information about uncer</w:t>
      </w:r>
      <w:r w:rsidRPr="00EA479B">
        <w:t>tainty components from calibration reports or reference material report</w:t>
      </w:r>
    </w:p>
    <w:p w:rsidR="00000000" w:rsidRPr="00EA479B" w:rsidP="00EA479B">
      <w:pPr>
        <w:pStyle w:val="ListBullet"/>
      </w:pPr>
      <w:r w:rsidRPr="00EA479B">
        <w:t>calculating sensitivity coefficients either experimentally or by partial differentiation</w:t>
      </w:r>
    </w:p>
    <w:p w:rsidR="00000000" w:rsidRPr="00EA479B" w:rsidP="00EA479B">
      <w:pPr>
        <w:pStyle w:val="ListBullet"/>
      </w:pPr>
      <w:r w:rsidRPr="00EA479B">
        <w:t>calculating expanded uncertainty</w:t>
      </w:r>
    </w:p>
    <w:p w:rsidR="00000000" w:rsidRPr="00EA479B" w:rsidP="00EA479B">
      <w:pPr>
        <w:pStyle w:val="ListBullet"/>
      </w:pPr>
      <w:r w:rsidRPr="00EA479B">
        <w:t>using spreadsheets to calculate uncertainties</w:t>
      </w:r>
    </w:p>
    <w:p w:rsidR="00000000" w:rsidRPr="00EA479B" w:rsidP="00EA479B">
      <w:pPr>
        <w:pStyle w:val="ListBullet"/>
      </w:pPr>
      <w:r w:rsidRPr="00EA479B">
        <w:t xml:space="preserve">deciding if the </w:t>
      </w:r>
      <w:r w:rsidRPr="00EA479B">
        <w:t>uncertainty is suitable for the accuracy required for the test and establishing whether it is fit for purpose using the tolerance to uncertainty ratio (TUR)</w:t>
      </w:r>
    </w:p>
    <w:p w:rsidR="00000000" w:rsidRPr="00EA479B" w:rsidP="00EA479B">
      <w:pPr>
        <w:pStyle w:val="ListBullet"/>
      </w:pPr>
      <w:r w:rsidRPr="00EA479B">
        <w:t>using and interpreting mean, standard deviation, standard deviation of the mean, degrees of freedom</w:t>
      </w:r>
      <w:r w:rsidRPr="00EA479B">
        <w:t>, histograms and frequency plots, probability, normal probability plots and control charts</w:t>
      </w:r>
    </w:p>
    <w:p w:rsidR="00000000" w:rsidRPr="00EA479B" w:rsidP="00EA479B">
      <w:pPr>
        <w:pStyle w:val="ListBullet"/>
      </w:pPr>
      <w:r w:rsidRPr="00EA479B">
        <w:t>using the student</w:t>
      </w:r>
      <w:r>
        <w:t>’</w:t>
      </w:r>
      <w:r w:rsidRPr="00EA479B">
        <w:t>s t-table to get a coverage factor for a particular level of confidence</w:t>
      </w:r>
    </w:p>
    <w:p w:rsidR="00000000" w:rsidRPr="00EA479B" w:rsidP="00EA479B">
      <w:pPr>
        <w:pStyle w:val="ListBullet"/>
      </w:pPr>
      <w:r w:rsidRPr="00EA479B">
        <w:t>using and interpreting significance tests, such as t-test, f-test and analy</w:t>
      </w:r>
      <w:r w:rsidRPr="00EA479B">
        <w:t xml:space="preserve">sis of variance (ANOVA), variances, standard deviation of prediction and linear regression </w:t>
      </w:r>
    </w:p>
    <w:p w:rsidR="00000000" w:rsidRPr="00EA479B" w:rsidP="00EA479B">
      <w:pPr>
        <w:pStyle w:val="ListBullet"/>
      </w:pPr>
      <w:r w:rsidRPr="00EA479B">
        <w:t>using regression methods for calibration, linearity checks and comparing analytical methods</w:t>
      </w:r>
    </w:p>
    <w:p w:rsidR="00000000" w:rsidRPr="00EA479B" w:rsidP="00EA479B">
      <w:pPr>
        <w:pStyle w:val="ListBullet"/>
      </w:pPr>
      <w:r w:rsidRPr="00EA479B">
        <w:t>using and interpreting normal, rectangular, triangular distributions and</w:t>
      </w:r>
      <w:r w:rsidRPr="00EA479B">
        <w:t xml:space="preserve"> the factors used to reduce each to a standard uncertainty</w:t>
      </w:r>
    </w:p>
    <w:p w:rsidR="00000000" w:rsidRPr="00EA479B" w:rsidP="00EA479B">
      <w:pPr>
        <w:pStyle w:val="ListBullet"/>
      </w:pPr>
      <w:r w:rsidRPr="00EA479B">
        <w:t>allocating degrees of freedom to each uncertainty component using the Welch-Satterthwaite equation</w:t>
      </w:r>
    </w:p>
    <w:p w:rsidR="00000000" w:rsidRPr="00EA479B" w:rsidP="00EA479B">
      <w:pPr>
        <w:pStyle w:val="ListBullet"/>
      </w:pPr>
      <w:r w:rsidRPr="00EA479B">
        <w:t>reporting results and uncertainties in the required formats.</w:t>
      </w:r>
    </w:p>
    <w:p w:rsidR="00000000" w:rsidRPr="00EA479B" w:rsidP="00EA479B">
      <w:pPr>
        <w:pStyle w:val="AllowPageBreak"/>
      </w:pPr>
    </w:p>
    <w:p w:rsidR="00000000" w:rsidRPr="00EA479B" w:rsidP="00EA479B">
      <w:pPr>
        <w:pStyle w:val="Heading1"/>
      </w:pPr>
      <w:bookmarkStart w:id="3" w:name="O_902691"/>
      <w:bookmarkEnd w:id="3"/>
      <w:r w:rsidRPr="00EA479B">
        <w:t>Knowledge Evidence</w:t>
      </w:r>
    </w:p>
    <w:p w:rsidR="00000000" w:rsidRPr="00EA479B" w:rsidP="00A15AF5">
      <w:pPr>
        <w:pStyle w:val="BodyText"/>
      </w:pPr>
      <w:r w:rsidRPr="00EA479B">
        <w:t>Must provide evidence that demonstrates knowledge of:</w:t>
      </w:r>
    </w:p>
    <w:p w:rsidR="00000000" w:rsidRPr="00EA479B" w:rsidP="00EA479B">
      <w:pPr>
        <w:pStyle w:val="ListBullet"/>
      </w:pPr>
      <w:r w:rsidRPr="00EA479B">
        <w:t>the steps in the measurement, test or calibration involved</w:t>
      </w:r>
    </w:p>
    <w:p w:rsidR="00000000" w:rsidRPr="00EA479B" w:rsidP="00EA479B">
      <w:pPr>
        <w:pStyle w:val="ListBullet"/>
      </w:pPr>
      <w:r w:rsidRPr="00EA479B">
        <w:t>the difference between errors, corrections and uncertainties</w:t>
      </w:r>
    </w:p>
    <w:p w:rsidR="00000000" w:rsidRPr="00EA479B" w:rsidP="00EA479B">
      <w:pPr>
        <w:pStyle w:val="ListBullet"/>
      </w:pPr>
      <w:r w:rsidRPr="00EA479B">
        <w:t>uncertainty in the uncertainty estimation process</w:t>
      </w:r>
    </w:p>
    <w:p w:rsidR="00000000" w:rsidRPr="00EA479B" w:rsidP="00EA479B">
      <w:pPr>
        <w:pStyle w:val="ListBullet"/>
      </w:pPr>
      <w:r w:rsidRPr="00EA479B">
        <w:t>uncertainty components that are</w:t>
      </w:r>
      <w:r w:rsidRPr="00EA479B">
        <w:t xml:space="preserve"> common to the use of an instrument</w:t>
      </w:r>
    </w:p>
    <w:p w:rsidR="00000000" w:rsidRPr="00EA479B" w:rsidP="00EA479B">
      <w:pPr>
        <w:pStyle w:val="ListBullet"/>
      </w:pPr>
      <w:r w:rsidRPr="00EA479B">
        <w:t>uncertainty components that arise due to the instrument being used under different conditions to those when it was calibrated</w:t>
      </w:r>
    </w:p>
    <w:p w:rsidR="00000000" w:rsidRPr="00EA479B" w:rsidP="00EA479B">
      <w:pPr>
        <w:pStyle w:val="ListBullet"/>
      </w:pPr>
      <w:r w:rsidRPr="00EA479B">
        <w:t>uncertainty components, such as:</w:t>
      </w:r>
    </w:p>
    <w:p w:rsidR="00000000" w:rsidRPr="00EA479B" w:rsidP="00EA479B">
      <w:pPr>
        <w:pStyle w:val="ListBullet2"/>
      </w:pPr>
      <w:r w:rsidRPr="00EA479B">
        <w:t>calibration uncertainty</w:t>
      </w:r>
    </w:p>
    <w:p w:rsidR="00000000" w:rsidRPr="00EA479B" w:rsidP="00EA479B">
      <w:pPr>
        <w:pStyle w:val="ListBullet2"/>
      </w:pPr>
      <w:r w:rsidRPr="00EA479B">
        <w:t>instability or drift in the calibrat</w:t>
      </w:r>
      <w:r w:rsidRPr="00EA479B">
        <w:t>ed instrument</w:t>
      </w:r>
    </w:p>
    <w:p w:rsidR="00000000" w:rsidRPr="00EA479B" w:rsidP="00EA479B">
      <w:pPr>
        <w:pStyle w:val="ListBullet2"/>
      </w:pPr>
      <w:r w:rsidRPr="00EA479B">
        <w:t>repeatability of the results</w:t>
      </w:r>
    </w:p>
    <w:p w:rsidR="00000000" w:rsidRPr="00EA479B" w:rsidP="00EA479B">
      <w:pPr>
        <w:pStyle w:val="ListBullet2"/>
      </w:pPr>
      <w:r w:rsidRPr="00EA479B">
        <w:t>resolution or readability of the instrument</w:t>
      </w:r>
    </w:p>
    <w:p w:rsidR="00000000" w:rsidRPr="00EA479B" w:rsidP="00EA479B">
      <w:pPr>
        <w:pStyle w:val="ListBullet2"/>
      </w:pPr>
      <w:r w:rsidRPr="00EA479B">
        <w:t>environmental influences, such as temperature, air pressure, humidity, vibration, electrical noise and gravity</w:t>
      </w:r>
    </w:p>
    <w:p w:rsidR="00000000" w:rsidRPr="00EA479B" w:rsidP="00EA479B">
      <w:pPr>
        <w:pStyle w:val="ListBullet2"/>
      </w:pPr>
      <w:r w:rsidRPr="00EA479B">
        <w:t>reference material uncertainty</w:t>
      </w:r>
    </w:p>
    <w:p w:rsidR="00000000" w:rsidRPr="00EA479B" w:rsidP="00EA479B">
      <w:pPr>
        <w:pStyle w:val="ListBullet2"/>
      </w:pPr>
      <w:r w:rsidRPr="00EA479B">
        <w:t>factors arising from using an instrument under a different operating environment or procedures (e.g. orientation of a transducer and immersion depth of a temperature probe)</w:t>
      </w:r>
    </w:p>
    <w:p w:rsidR="00000000" w:rsidRPr="00EA479B" w:rsidP="00EA479B">
      <w:pPr>
        <w:pStyle w:val="ListBullet2"/>
      </w:pPr>
      <w:r w:rsidRPr="00EA479B">
        <w:t>reproducibility of quality control data</w:t>
      </w:r>
    </w:p>
    <w:p w:rsidR="00000000" w:rsidRPr="00EA479B" w:rsidP="00EA479B">
      <w:pPr>
        <w:pStyle w:val="ListBullet"/>
      </w:pPr>
      <w:r w:rsidRPr="00EA479B">
        <w:t>procedures for determining the uncertainty</w:t>
      </w:r>
      <w:r w:rsidRPr="00EA479B">
        <w:t xml:space="preserve"> components associated with each of the inputs and whether they are significant and for applying appropriate corrections</w:t>
      </w:r>
    </w:p>
    <w:p w:rsidR="00000000" w:rsidRPr="00EA479B" w:rsidP="00EA479B">
      <w:pPr>
        <w:pStyle w:val="ListBullet"/>
      </w:pPr>
      <w:r w:rsidRPr="00EA479B">
        <w:t>manufacturer</w:t>
      </w:r>
      <w:r>
        <w:t>’</w:t>
      </w:r>
      <w:r w:rsidRPr="00EA479B">
        <w:t>s specifications (e.g. instrument drift specification and reference materials)</w:t>
      </w:r>
    </w:p>
    <w:p w:rsidR="00000000" w:rsidRPr="00EA479B" w:rsidP="00EA479B">
      <w:pPr>
        <w:pStyle w:val="ListBullet"/>
      </w:pPr>
      <w:r w:rsidRPr="00EA479B">
        <w:t>procedures for determining uncertainty comp</w:t>
      </w:r>
      <w:r w:rsidRPr="00EA479B">
        <w:t>onents from quality control data</w:t>
      </w:r>
    </w:p>
    <w:p w:rsidR="00000000" w:rsidRPr="00EA479B" w:rsidP="00EA479B">
      <w:pPr>
        <w:pStyle w:val="ListBullet"/>
      </w:pPr>
      <w:r w:rsidRPr="00EA479B">
        <w:t xml:space="preserve">the concept of degrees of freedom </w:t>
      </w:r>
    </w:p>
    <w:p w:rsidR="00000000" w:rsidRPr="00EA479B" w:rsidP="00EA479B">
      <w:pPr>
        <w:pStyle w:val="ListBullet"/>
      </w:pPr>
      <w:r w:rsidRPr="00EA479B">
        <w:t>the characteristics of a valid measurement</w:t>
      </w:r>
    </w:p>
    <w:p w:rsidR="00000000" w:rsidRPr="00EA479B" w:rsidP="00EA479B">
      <w:pPr>
        <w:pStyle w:val="ListBullet"/>
      </w:pPr>
      <w:r w:rsidRPr="00EA479B">
        <w:t>reporting requirements, such as the uncertainty in measurement (GUM), National Association of Testing Authorities (NATA) or other applicable refe</w:t>
      </w:r>
      <w:r w:rsidRPr="00EA479B">
        <w:t>rence material</w:t>
      </w:r>
    </w:p>
    <w:p w:rsidR="00000000" w:rsidRPr="00EA479B" w:rsidP="00EA479B">
      <w:pPr>
        <w:pStyle w:val="ListBullet"/>
      </w:pPr>
      <w:r w:rsidRPr="00EA479B">
        <w:t>confidence levels required by the National Measurement Act 1960 (e.g. 95% for most applications, but others may require a higher confidence level).</w:t>
      </w:r>
    </w:p>
    <w:p w:rsidR="00000000" w:rsidRPr="00EA479B" w:rsidP="00EA479B">
      <w:pPr>
        <w:pStyle w:val="AllowPageBreak"/>
      </w:pPr>
    </w:p>
    <w:p w:rsidR="00000000" w:rsidRPr="00EA479B" w:rsidP="00EA479B">
      <w:pPr>
        <w:pStyle w:val="Heading1"/>
      </w:pPr>
      <w:bookmarkStart w:id="4" w:name="O_902690"/>
      <w:bookmarkEnd w:id="4"/>
      <w:r w:rsidRPr="00EA479B">
        <w:t>Assessment Conditions</w:t>
      </w:r>
    </w:p>
    <w:p w:rsidR="00000000" w:rsidRPr="00EA479B" w:rsidP="00EA479B">
      <w:pPr>
        <w:pStyle w:val="ListBullet"/>
      </w:pPr>
      <w:r w:rsidRPr="00EA479B">
        <w:t xml:space="preserve">Judgement of competence must be based on holistic assessment of the evidence. Assessment methods must confirm consistency of performance over time, rather than a single assessment event. </w:t>
      </w:r>
    </w:p>
    <w:p w:rsidR="00000000" w:rsidRPr="00EA479B" w:rsidP="00EA479B">
      <w:pPr>
        <w:pStyle w:val="ListBullet"/>
      </w:pPr>
      <w:r w:rsidRPr="00EA479B">
        <w:t>This unit of competency is to be assessed in the workplace or a simu</w:t>
      </w:r>
      <w:r w:rsidRPr="00EA479B">
        <w:t>lated workplace environment. A simulated workplace environment must reflect realistic operational workplace conditions that cover all aspects of workplace performance, including the environment, task skills, task management skills, contingency management s</w:t>
      </w:r>
      <w:r w:rsidRPr="00EA479B">
        <w:t xml:space="preserve">kills and job role environment skills.  </w:t>
      </w:r>
    </w:p>
    <w:p w:rsidR="00000000" w:rsidRPr="00EA479B" w:rsidP="00EA479B">
      <w:pPr>
        <w:pStyle w:val="ListBullet"/>
      </w:pPr>
      <w:r w:rsidRPr="00EA479B">
        <w:t xml:space="preserve">Foundation skills are integral to competent performance of the unit and should not be assessed separately. </w:t>
      </w:r>
    </w:p>
    <w:p w:rsidR="00000000" w:rsidRPr="00EA479B" w:rsidP="00EA479B">
      <w:pPr>
        <w:pStyle w:val="ListBullet"/>
      </w:pPr>
      <w:r w:rsidRPr="00EA479B">
        <w:t>Assessment processes and techniques must be appropriate to the language, literacy and numeracy requirements</w:t>
      </w:r>
      <w:r w:rsidRPr="00EA479B">
        <w:t xml:space="preserve"> of the work being performed and the needs of the candidate.</w:t>
      </w:r>
    </w:p>
    <w:p w:rsidR="00000000" w:rsidRPr="00EA479B" w:rsidP="00EA479B">
      <w:pPr>
        <w:pStyle w:val="ListBullet"/>
      </w:pPr>
      <w:r w:rsidRPr="00EA479B">
        <w:t>Knowledge evidence may be collected concurrently with performance evidence or through an independent process, such as workbooks, written assessments or interviews (provided a record is kept in ea</w:t>
      </w:r>
      <w:r w:rsidRPr="00EA479B">
        <w:t>ch case).</w:t>
      </w:r>
    </w:p>
    <w:p w:rsidR="00000000" w:rsidRPr="00EA479B" w:rsidP="00EA479B">
      <w:pPr>
        <w:pStyle w:val="ListBullet"/>
      </w:pPr>
      <w:r w:rsidRPr="00EA479B">
        <w:t xml:space="preserve">This unit of competency may be assessed with: </w:t>
      </w:r>
    </w:p>
    <w:p w:rsidR="00000000" w:rsidRPr="00EA479B" w:rsidP="00EA479B">
      <w:pPr>
        <w:pStyle w:val="ListBullet2"/>
      </w:pPr>
      <w:r w:rsidRPr="00EA479B">
        <w:t>MSL904001 Perform standard calibrations</w:t>
      </w:r>
    </w:p>
    <w:p w:rsidR="00000000" w:rsidRPr="00EA479B" w:rsidP="00EA479B">
      <w:pPr>
        <w:pStyle w:val="ListBullet2"/>
      </w:pPr>
      <w:r w:rsidRPr="00EA479B">
        <w:t>MSL905001 Perform non-standard calibrations</w:t>
      </w:r>
    </w:p>
    <w:p w:rsidR="00000000" w:rsidRPr="00EA479B" w:rsidP="00EA479B">
      <w:pPr>
        <w:pStyle w:val="ListBullet"/>
      </w:pPr>
      <w:r w:rsidRPr="00EA479B">
        <w:t xml:space="preserve">Holistic assessment methods include: </w:t>
      </w:r>
    </w:p>
    <w:p w:rsidR="00000000" w:rsidRPr="00EA479B" w:rsidP="00EA479B">
      <w:pPr>
        <w:pStyle w:val="ListBullet2"/>
      </w:pPr>
      <w:r w:rsidRPr="00EA479B">
        <w:t>review of data worksheets, calculations, spreadsheets, databases, statisti</w:t>
      </w:r>
      <w:r w:rsidRPr="00EA479B">
        <w:t>cal analysis, graphs and/or tables prepared by the candidate</w:t>
      </w:r>
    </w:p>
    <w:p w:rsidR="00000000" w:rsidRPr="00EA479B" w:rsidP="00EA479B">
      <w:pPr>
        <w:pStyle w:val="ListBullet2"/>
      </w:pPr>
      <w:r w:rsidRPr="00EA479B">
        <w:t>questions to assess understanding of relevant procedures, trends in data and sources of uncertainty</w:t>
      </w:r>
    </w:p>
    <w:p w:rsidR="00000000" w:rsidRPr="00EA479B" w:rsidP="00EA479B">
      <w:pPr>
        <w:pStyle w:val="ListBullet2"/>
      </w:pPr>
      <w:r w:rsidRPr="00EA479B">
        <w:t>review of reports and records prepared by the candidate</w:t>
      </w:r>
    </w:p>
    <w:p w:rsidR="00000000" w:rsidRPr="00EA479B" w:rsidP="00EA479B">
      <w:pPr>
        <w:pStyle w:val="ListBullet2"/>
      </w:pPr>
      <w:r w:rsidRPr="00EA479B">
        <w:t>feedback from supervisors and peers reg</w:t>
      </w:r>
      <w:r w:rsidRPr="00EA479B">
        <w:t>arding the candidate</w:t>
      </w:r>
      <w:r>
        <w:t>’</w:t>
      </w:r>
      <w:r w:rsidRPr="00EA479B">
        <w:t>s ability to estimate uncertainty in accordance with workplace procedures.</w:t>
      </w:r>
    </w:p>
    <w:p w:rsidR="00000000" w:rsidRPr="00EA479B" w:rsidP="00EA479B">
      <w:pPr>
        <w:pStyle w:val="ListBullet"/>
      </w:pPr>
      <w:r w:rsidRPr="00EA479B">
        <w:t>Access is required to all instruments, equipment, materials, workplace documentation, procedures and specifications associated with this unit, including, but n</w:t>
      </w:r>
      <w:r w:rsidRPr="00EA479B">
        <w:t>ot limited to:</w:t>
      </w:r>
    </w:p>
    <w:p w:rsidR="00000000" w:rsidRPr="00EA479B" w:rsidP="00EA479B">
      <w:pPr>
        <w:pStyle w:val="ListBullet2"/>
      </w:pPr>
      <w:r w:rsidRPr="00EA479B">
        <w:t>data sets and records</w:t>
      </w:r>
    </w:p>
    <w:p w:rsidR="00000000" w:rsidRPr="00EA479B" w:rsidP="00EA479B">
      <w:pPr>
        <w:pStyle w:val="ListBullet2"/>
      </w:pPr>
      <w:r w:rsidRPr="00EA479B">
        <w:t>test methods and description of test set-up</w:t>
      </w:r>
    </w:p>
    <w:p w:rsidR="00000000" w:rsidRPr="00EA479B" w:rsidP="00EA479B">
      <w:pPr>
        <w:pStyle w:val="ListBullet2"/>
      </w:pPr>
      <w:r w:rsidRPr="00EA479B">
        <w:t>computer and relevant software or laboratory information system</w:t>
      </w:r>
    </w:p>
    <w:p w:rsidR="00000000" w:rsidRPr="00EA479B" w:rsidP="00EA479B">
      <w:pPr>
        <w:pStyle w:val="ListBullet2"/>
      </w:pPr>
      <w:r w:rsidRPr="00EA479B">
        <w:t>workplace procedures.</w:t>
      </w:r>
    </w:p>
    <w:p w:rsidR="00000000" w:rsidRPr="00EA479B" w:rsidP="00EA479B">
      <w:pPr>
        <w:pStyle w:val="ListBullet"/>
      </w:pPr>
      <w:r w:rsidRPr="00EA479B">
        <w:t xml:space="preserve">Assessors must satisfy the assessor competency requirements that are in place at the time of the assessment as set by the VET regulator.  </w:t>
      </w:r>
    </w:p>
    <w:p w:rsidR="00000000" w:rsidRPr="00EA479B" w:rsidP="00EA479B">
      <w:pPr>
        <w:pStyle w:val="ListBullet"/>
      </w:pPr>
      <w:r w:rsidRPr="00EA479B">
        <w:t>The assessor must demonstrate both technical competency and currency.</w:t>
      </w:r>
    </w:p>
    <w:p w:rsidR="00000000" w:rsidRPr="00EA479B" w:rsidP="00EA479B">
      <w:pPr>
        <w:pStyle w:val="ListBullet"/>
      </w:pPr>
      <w:r w:rsidRPr="00EA479B">
        <w:t>Technical competence can be demonstrated throug</w:t>
      </w:r>
      <w:r w:rsidRPr="00EA479B">
        <w:t>h:</w:t>
      </w:r>
    </w:p>
    <w:p w:rsidR="00000000" w:rsidRPr="00EA479B" w:rsidP="00EA479B">
      <w:pPr>
        <w:pStyle w:val="ListBullet2"/>
      </w:pPr>
      <w:r w:rsidRPr="00EA479B">
        <w:t>relevant VET or other qualification/Statement of Attainment AND/OR</w:t>
      </w:r>
    </w:p>
    <w:p w:rsidR="00000000" w:rsidRPr="00EA479B" w:rsidP="00EA479B">
      <w:pPr>
        <w:pStyle w:val="ListBullet2"/>
      </w:pPr>
      <w:r w:rsidRPr="00EA479B">
        <w:t>relevant workplace experience.</w:t>
      </w:r>
    </w:p>
    <w:p w:rsidR="00000000" w:rsidRPr="00EA479B" w:rsidP="00EA479B">
      <w:pPr>
        <w:pStyle w:val="ListBullet"/>
      </w:pPr>
      <w:r w:rsidRPr="00EA479B">
        <w:t>Currency can be demonstrated through:</w:t>
      </w:r>
    </w:p>
    <w:p w:rsidR="00000000" w:rsidRPr="00EA479B" w:rsidP="00EA479B">
      <w:pPr>
        <w:pStyle w:val="ListBullet2"/>
      </w:pPr>
      <w:r w:rsidRPr="00EA479B">
        <w:t>performing the competency being assessed as part of current employment OR</w:t>
      </w:r>
    </w:p>
    <w:p w:rsidR="00000000" w:rsidRPr="00EA479B" w:rsidP="00EA479B">
      <w:pPr>
        <w:pStyle w:val="ListBullet2"/>
      </w:pPr>
      <w:r w:rsidRPr="00EA479B">
        <w:t>having consulted with a laboratory about</w:t>
      </w:r>
      <w:r w:rsidRPr="00EA479B">
        <w:t xml:space="preserve"> performing the competency being assessed within the last twelve months.</w:t>
      </w:r>
    </w:p>
    <w:p w:rsidR="00000000" w:rsidRPr="00EA479B" w:rsidP="00EA479B">
      <w:pPr>
        <w:pStyle w:val="AllowPageBreak"/>
      </w:pPr>
    </w:p>
    <w:p w:rsidR="00000000" w:rsidRPr="00EA479B" w:rsidP="00EA479B">
      <w:pPr>
        <w:pStyle w:val="Heading1"/>
      </w:pPr>
      <w:bookmarkStart w:id="5" w:name="O_902688"/>
      <w:bookmarkEnd w:id="5"/>
      <w:r w:rsidRPr="00EA479B">
        <w:t>Links</w:t>
      </w:r>
    </w:p>
    <w:p w:rsidR="00000000" w:rsidRPr="00EA479B" w:rsidP="00A15AF5">
      <w:pPr>
        <w:pStyle w:val="BodyText"/>
      </w:pPr>
      <w:r w:rsidRPr="00EA47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0A5F55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EA479B" w:rsidP="00EA479B"/>
    <w:sectPr w:rsidSect="00EA47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7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79B" w:rsidRPr="00A15AF5" w:rsidP="00A15A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7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AF5" w:rsidP="00EA47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5AF5" w:rsidP="00EA47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15AF5" w:rsidP="00EA47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7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A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479B" w:rsidRPr="00A15AF5" w:rsidP="00A15A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7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AF5" w:rsidRPr="002D2AF8" w:rsidP="00EA47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MSL925002 Analyse measurements and estimate uncertainties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A15AF5" w:rsidP="00EA47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CE6B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7A2E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3A17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7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47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47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47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47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47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47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47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47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47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47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479B"/>
  </w:style>
  <w:style w:type="character" w:customStyle="1" w:styleId="Heading1Char">
    <w:name w:val="Heading 1 Char"/>
    <w:basedOn w:val="DefaultParagraphFont"/>
    <w:link w:val="Heading1"/>
    <w:rsid w:val="00EA47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47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479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479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A479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A479B"/>
    <w:rPr>
      <w:i/>
    </w:rPr>
  </w:style>
  <w:style w:type="paragraph" w:customStyle="1" w:styleId="SuperHeading">
    <w:name w:val="SuperHeading"/>
    <w:basedOn w:val="Normal"/>
    <w:rsid w:val="00EA47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47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47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47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47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47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47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47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47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47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47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47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47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47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47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47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47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47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47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47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479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47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A479B"/>
    <w:rPr>
      <w:b/>
      <w:spacing w:val="0"/>
    </w:rPr>
  </w:style>
  <w:style w:type="paragraph" w:customStyle="1" w:styleId="SuperTitle">
    <w:name w:val="SuperTitle"/>
    <w:basedOn w:val="Title"/>
    <w:rsid w:val="00EA47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47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47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47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47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47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47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47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47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47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47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47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47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47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47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479B"/>
  </w:style>
  <w:style w:type="paragraph" w:styleId="TableofFigures">
    <w:name w:val="table of figures"/>
    <w:basedOn w:val="Normal"/>
    <w:next w:val="Normal"/>
    <w:semiHidden/>
    <w:rsid w:val="00EA47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479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479B"/>
    <w:rPr>
      <w:rFonts w:ascii="Wingdings" w:hAnsi="Wingdings"/>
    </w:rPr>
  </w:style>
  <w:style w:type="paragraph" w:customStyle="1" w:styleId="TableHeading">
    <w:name w:val="Table Heading"/>
    <w:basedOn w:val="HeadingBase"/>
    <w:rsid w:val="00EA47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479B"/>
    <w:rPr>
      <w:color w:val="0033CC"/>
      <w:u w:val="none"/>
    </w:rPr>
  </w:style>
  <w:style w:type="paragraph" w:customStyle="1" w:styleId="BodyTextRight">
    <w:name w:val="Body Text Right"/>
    <w:basedOn w:val="BodyText"/>
    <w:rsid w:val="00EA47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47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479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47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47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47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479B"/>
    <w:rPr>
      <w:sz w:val="32"/>
    </w:rPr>
  </w:style>
  <w:style w:type="paragraph" w:customStyle="1" w:styleId="HeadingProcedure">
    <w:name w:val="Heading Procedure"/>
    <w:basedOn w:val="HeadingBase"/>
    <w:next w:val="Normal"/>
    <w:rsid w:val="00EA47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479B"/>
    <w:pPr>
      <w:spacing w:before="60" w:after="60"/>
    </w:pPr>
  </w:style>
  <w:style w:type="paragraph" w:styleId="ListContinue">
    <w:name w:val="List Continue"/>
    <w:basedOn w:val="List"/>
    <w:rsid w:val="00EA479B"/>
    <w:pPr>
      <w:ind w:firstLine="0"/>
    </w:pPr>
  </w:style>
  <w:style w:type="paragraph" w:customStyle="1" w:styleId="ListNote">
    <w:name w:val="List Note"/>
    <w:basedOn w:val="List"/>
    <w:rsid w:val="00EA47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47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47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479B"/>
    <w:rPr>
      <w:rFonts w:ascii="Courier New" w:hAnsi="Courier New"/>
    </w:rPr>
  </w:style>
  <w:style w:type="paragraph" w:customStyle="1" w:styleId="NoteBullet">
    <w:name w:val="Note Bullet"/>
    <w:basedOn w:val="Note"/>
    <w:rsid w:val="00EA47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47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47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47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479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47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47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479B"/>
    <w:rPr>
      <w:b/>
      <w:smallCaps/>
    </w:rPr>
  </w:style>
  <w:style w:type="paragraph" w:customStyle="1" w:styleId="TableListNumber">
    <w:name w:val="Table List Number"/>
    <w:basedOn w:val="ListNumber"/>
    <w:rsid w:val="00EA47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47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479B"/>
    <w:pPr>
      <w:numPr>
        <w:numId w:val="9"/>
      </w:numPr>
    </w:pPr>
  </w:style>
  <w:style w:type="paragraph" w:customStyle="1" w:styleId="ListAlpha2">
    <w:name w:val="List Alpha 2"/>
    <w:basedOn w:val="List2"/>
    <w:rsid w:val="00EA479B"/>
    <w:pPr>
      <w:numPr>
        <w:numId w:val="8"/>
      </w:numPr>
    </w:pPr>
  </w:style>
  <w:style w:type="paragraph" w:styleId="List2">
    <w:name w:val="List 2"/>
    <w:basedOn w:val="BodyText"/>
    <w:rsid w:val="00EA47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47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47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47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479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479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479B"/>
    <w:pPr>
      <w:numPr>
        <w:numId w:val="4"/>
      </w:numPr>
    </w:pPr>
  </w:style>
  <w:style w:type="paragraph" w:styleId="ListContinue2">
    <w:name w:val="List Continue 2"/>
    <w:basedOn w:val="List2"/>
    <w:rsid w:val="00EA479B"/>
    <w:pPr>
      <w:ind w:firstLine="0"/>
    </w:pPr>
  </w:style>
  <w:style w:type="paragraph" w:styleId="ListContinue3">
    <w:name w:val="List Continue 3"/>
    <w:basedOn w:val="List3"/>
    <w:rsid w:val="00EA479B"/>
    <w:pPr>
      <w:ind w:left="1021" w:firstLine="0"/>
    </w:pPr>
  </w:style>
  <w:style w:type="paragraph" w:styleId="ListContinue4">
    <w:name w:val="List Continue 4"/>
    <w:basedOn w:val="List4"/>
    <w:rsid w:val="00EA479B"/>
    <w:pPr>
      <w:ind w:firstLine="0"/>
    </w:pPr>
  </w:style>
  <w:style w:type="paragraph" w:styleId="ListContinue5">
    <w:name w:val="List Continue 5"/>
    <w:basedOn w:val="List5"/>
    <w:rsid w:val="00EA479B"/>
    <w:pPr>
      <w:ind w:firstLine="0"/>
    </w:pPr>
  </w:style>
  <w:style w:type="paragraph" w:styleId="ListNumber3">
    <w:name w:val="List Number 3"/>
    <w:basedOn w:val="List3"/>
    <w:rsid w:val="00EA479B"/>
    <w:pPr>
      <w:numPr>
        <w:numId w:val="5"/>
      </w:numPr>
    </w:pPr>
  </w:style>
  <w:style w:type="paragraph" w:styleId="ListNumber4">
    <w:name w:val="List Number 4"/>
    <w:basedOn w:val="List4"/>
    <w:rsid w:val="00EA479B"/>
    <w:pPr>
      <w:numPr>
        <w:numId w:val="6"/>
      </w:numPr>
    </w:pPr>
  </w:style>
  <w:style w:type="paragraph" w:styleId="ListNumber5">
    <w:name w:val="List Number 5"/>
    <w:basedOn w:val="List5"/>
    <w:rsid w:val="00EA479B"/>
    <w:pPr>
      <w:numPr>
        <w:numId w:val="7"/>
      </w:numPr>
    </w:pPr>
  </w:style>
  <w:style w:type="paragraph" w:styleId="BlockText">
    <w:name w:val="Block Text"/>
    <w:basedOn w:val="Normal"/>
    <w:rsid w:val="00EA47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47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479B"/>
    <w:rPr>
      <w:sz w:val="16"/>
      <w:vertAlign w:val="superscript"/>
    </w:rPr>
  </w:style>
  <w:style w:type="character" w:customStyle="1" w:styleId="Symbols">
    <w:name w:val="Symbols"/>
    <w:basedOn w:val="DefaultParagraphFont"/>
    <w:rsid w:val="00EA479B"/>
    <w:rPr>
      <w:rFonts w:ascii="Symbol" w:hAnsi="Symbol"/>
    </w:rPr>
  </w:style>
  <w:style w:type="character" w:customStyle="1" w:styleId="MenuOptions">
    <w:name w:val="Menu Options"/>
    <w:basedOn w:val="DefaultParagraphFont"/>
    <w:rsid w:val="00EA47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479B"/>
    <w:rPr>
      <w:b/>
    </w:rPr>
  </w:style>
  <w:style w:type="character" w:customStyle="1" w:styleId="Underlined">
    <w:name w:val="Underlined"/>
    <w:basedOn w:val="DefaultParagraphFont"/>
    <w:rsid w:val="00EA479B"/>
    <w:rPr>
      <w:u w:val="single"/>
    </w:rPr>
  </w:style>
  <w:style w:type="paragraph" w:customStyle="1" w:styleId="TableBodyTextRight">
    <w:name w:val="Table Body Text Right"/>
    <w:basedOn w:val="TableBodyText"/>
    <w:rsid w:val="00EA47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479B"/>
    <w:rPr>
      <w:sz w:val="18"/>
    </w:rPr>
  </w:style>
  <w:style w:type="paragraph" w:customStyle="1" w:styleId="BodySmallRight">
    <w:name w:val="Body Small Right"/>
    <w:basedOn w:val="BodyTextRight"/>
    <w:rsid w:val="00EA479B"/>
    <w:rPr>
      <w:sz w:val="18"/>
      <w:szCs w:val="18"/>
    </w:rPr>
  </w:style>
  <w:style w:type="paragraph" w:customStyle="1" w:styleId="MarginEdition">
    <w:name w:val="Margin Edition"/>
    <w:basedOn w:val="MarginNote"/>
    <w:rsid w:val="00EA47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479B"/>
    <w:rPr>
      <w:sz w:val="2"/>
      <w:szCs w:val="2"/>
    </w:rPr>
  </w:style>
  <w:style w:type="character" w:customStyle="1" w:styleId="Small">
    <w:name w:val="Small"/>
    <w:basedOn w:val="DefaultParagraphFont"/>
    <w:rsid w:val="00EA479B"/>
    <w:rPr>
      <w:sz w:val="16"/>
    </w:rPr>
  </w:style>
  <w:style w:type="paragraph" w:customStyle="1" w:styleId="WideTable">
    <w:name w:val="Wide Table"/>
    <w:basedOn w:val="Normal"/>
    <w:rsid w:val="00EA47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479B"/>
  </w:style>
  <w:style w:type="paragraph" w:styleId="Quote">
    <w:name w:val="Quote"/>
    <w:basedOn w:val="Heading1"/>
    <w:link w:val="QuoteChar"/>
    <w:qFormat/>
    <w:rsid w:val="00EA47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47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479B"/>
    <w:pPr>
      <w:pageBreakBefore/>
    </w:pPr>
  </w:style>
  <w:style w:type="paragraph" w:customStyle="1" w:styleId="Border">
    <w:name w:val="Border"/>
    <w:basedOn w:val="Normal"/>
    <w:qFormat/>
    <w:rsid w:val="00EA47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47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47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47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47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47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47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47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47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479B"/>
    <w:rPr>
      <w:u w:val="single"/>
    </w:rPr>
  </w:style>
  <w:style w:type="character" w:customStyle="1" w:styleId="BoldandItalics">
    <w:name w:val="Bold and Italics"/>
    <w:qFormat/>
    <w:rsid w:val="00EA479B"/>
    <w:rPr>
      <w:b/>
      <w:i/>
      <w:u w:val="none"/>
    </w:rPr>
  </w:style>
  <w:style w:type="paragraph" w:styleId="BalloonText">
    <w:name w:val="Balloon Text"/>
    <w:basedOn w:val="Normal"/>
    <w:link w:val="BalloonTextChar"/>
    <w:rsid w:val="00EA47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47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47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47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47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47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479B"/>
    <w:pPr>
      <w:spacing w:before="0" w:after="0"/>
    </w:pPr>
  </w:style>
  <w:style w:type="paragraph" w:customStyle="1" w:styleId="BodyTextBold">
    <w:name w:val="Body Text Bold"/>
    <w:basedOn w:val="BodyText"/>
    <w:qFormat/>
    <w:rsid w:val="00EA479B"/>
    <w:rPr>
      <w:b/>
    </w:rPr>
  </w:style>
  <w:style w:type="character" w:styleId="Hyperlink">
    <w:name w:val="Hyperlink"/>
    <w:basedOn w:val="DefaultParagraphFont"/>
    <w:uiPriority w:val="99"/>
    <w:unhideWhenUsed/>
    <w:rsid w:val="00A15A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897</Words>
  <Characters>5992</Characters>
  <Application>Microsoft Office Word</Application>
  <DocSecurity>0</DocSecurity>
  <Lines>124</Lines>
  <Paragraphs>89</Paragraphs>
  <ScaleCrop>false</ScaleCrop>
  <Company>Author-it Software Corporation Ltd.</Company>
  <LinksUpToDate>false</LinksUpToDate>
  <CharactersWithSpaces>6800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MSL925002 Analyse measurements and estimate uncertainties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2022-04-03T13:15:00Z</dcterms:created>
  <dcterms:modified xsi:type="dcterms:W3CDTF">2022-04-03T13:15:00Z</dcterms:modified>
</cp:coreProperties>
</file>