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54C" w:rsidP="00F075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MSL924005 Process and interpret data</w:t>
      </w:r>
      <w:r>
        <w:fldChar w:fldCharType="end"/>
      </w:r>
    </w:p>
    <w:p w:rsidR="00F0754C" w:rsidP="00F0754C">
      <w:pPr>
        <w:pStyle w:val="Version"/>
        <w:sectPr w:rsidSect="000E4B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4B6E" w:rsidP="000E4B6E">
      <w:pPr>
        <w:pStyle w:val="SuperHeading"/>
      </w:pPr>
      <w:r w:rsidRPr="000E4B6E">
        <w:t>Assessment Requirements for MSL924005 Process and interpret data</w:t>
      </w:r>
    </w:p>
    <w:p w:rsidR="00000000" w:rsidRPr="000E4B6E" w:rsidP="000E4B6E">
      <w:pPr>
        <w:pStyle w:val="Heading1"/>
      </w:pPr>
      <w:bookmarkStart w:id="1" w:name="O_1257642"/>
      <w:bookmarkEnd w:id="1"/>
      <w:r w:rsidRPr="000E4B6E">
        <w:t>Modification History</w:t>
      </w:r>
    </w:p>
    <w:p w:rsidR="00000000" w:rsidRPr="000E4B6E" w:rsidP="00F0754C">
      <w:pPr>
        <w:pStyle w:val="BodyText"/>
      </w:pPr>
      <w:r w:rsidRPr="000E4B6E">
        <w:t xml:space="preserve">Release 1. Supersedes and equivalent to MSL924003 Process and interpret data. Minor changes </w:t>
      </w:r>
      <w:r w:rsidRPr="000E4B6E">
        <w:t>to Performance Criteria, including moving of list in Element 4 to Performance Evidence. Performance Evidence significantly reworked for improved clarity with examples removed.  Minor wording changes to Knowledge Evidence.</w:t>
      </w:r>
    </w:p>
    <w:p w:rsidR="00000000" w:rsidRPr="000E4B6E" w:rsidP="000E4B6E">
      <w:pPr>
        <w:pStyle w:val="Heading1"/>
      </w:pPr>
      <w:bookmarkStart w:id="2" w:name="O_1257643"/>
      <w:bookmarkEnd w:id="2"/>
      <w:r w:rsidRPr="000E4B6E">
        <w:t>Performance Evi</w:t>
      </w:r>
      <w:r w:rsidRPr="000E4B6E">
        <w:t>dence</w:t>
      </w:r>
    </w:p>
    <w:p w:rsidR="00000000" w:rsidRPr="000E4B6E" w:rsidP="00F0754C">
      <w:pPr>
        <w:pStyle w:val="BodyText"/>
      </w:pPr>
      <w:r w:rsidRPr="000E4B6E">
        <w:t>There must be evidence the candidate has completed the tasks outlined in the elements and performance criteria of this unit, and:</w:t>
      </w:r>
    </w:p>
    <w:p w:rsidR="00000000" w:rsidRPr="000E4B6E" w:rsidP="000E4B6E">
      <w:pPr>
        <w:pStyle w:val="ListBullet"/>
      </w:pPr>
      <w:r w:rsidRPr="000E4B6E">
        <w:t>calculated scientific and statistical quantities with or without a calculator or computer software, including the follo</w:t>
      </w:r>
      <w:r w:rsidRPr="000E4B6E">
        <w:t>wing items:</w:t>
      </w:r>
    </w:p>
    <w:p w:rsidR="00000000" w:rsidRPr="000E4B6E" w:rsidP="000E4B6E">
      <w:pPr>
        <w:pStyle w:val="ListBullet2"/>
      </w:pPr>
      <w:r w:rsidRPr="000E4B6E">
        <w:t>converting units involving multiples and submultiples</w:t>
      </w:r>
    </w:p>
    <w:p w:rsidR="00000000" w:rsidRPr="000E4B6E" w:rsidP="000E4B6E">
      <w:pPr>
        <w:pStyle w:val="ListBullet2"/>
      </w:pPr>
      <w:r w:rsidRPr="000E4B6E">
        <w:t>scientific notation, significant figures, round off, estimate and approximate</w:t>
      </w:r>
    </w:p>
    <w:p w:rsidR="00000000" w:rsidRPr="000E4B6E" w:rsidP="000E4B6E">
      <w:pPr>
        <w:pStyle w:val="ListBullet2"/>
      </w:pPr>
      <w:r w:rsidRPr="000E4B6E">
        <w:t>transposing and evaluating formulae</w:t>
      </w:r>
    </w:p>
    <w:p w:rsidR="00000000" w:rsidRPr="000E4B6E" w:rsidP="000E4B6E">
      <w:pPr>
        <w:pStyle w:val="ListBullet2"/>
      </w:pPr>
      <w:r w:rsidRPr="000E4B6E">
        <w:t>fractions</w:t>
      </w:r>
    </w:p>
    <w:p w:rsidR="00000000" w:rsidRPr="000E4B6E" w:rsidP="000E4B6E">
      <w:pPr>
        <w:pStyle w:val="ListBullet2"/>
      </w:pPr>
      <w:r w:rsidRPr="000E4B6E">
        <w:t>decimals</w:t>
      </w:r>
    </w:p>
    <w:p w:rsidR="00000000" w:rsidRPr="000E4B6E" w:rsidP="000E4B6E">
      <w:pPr>
        <w:pStyle w:val="ListBullet2"/>
      </w:pPr>
      <w:r w:rsidRPr="000E4B6E">
        <w:t>proportions</w:t>
      </w:r>
    </w:p>
    <w:p w:rsidR="00000000" w:rsidRPr="000E4B6E" w:rsidP="000E4B6E">
      <w:pPr>
        <w:pStyle w:val="ListBullet2"/>
      </w:pPr>
      <w:r w:rsidRPr="000E4B6E">
        <w:t>percentages</w:t>
      </w:r>
    </w:p>
    <w:p w:rsidR="00000000" w:rsidRPr="000E4B6E" w:rsidP="000E4B6E">
      <w:pPr>
        <w:pStyle w:val="ListBullet2"/>
      </w:pPr>
      <w:r w:rsidRPr="000E4B6E">
        <w:t>mean</w:t>
      </w:r>
    </w:p>
    <w:p w:rsidR="00000000" w:rsidRPr="000E4B6E" w:rsidP="000E4B6E">
      <w:pPr>
        <w:pStyle w:val="ListBullet2"/>
      </w:pPr>
      <w:r w:rsidRPr="000E4B6E">
        <w:t>median</w:t>
      </w:r>
    </w:p>
    <w:p w:rsidR="00000000" w:rsidRPr="000E4B6E" w:rsidP="000E4B6E">
      <w:pPr>
        <w:pStyle w:val="ListBullet2"/>
      </w:pPr>
      <w:r w:rsidRPr="000E4B6E">
        <w:t xml:space="preserve">mode </w:t>
      </w:r>
    </w:p>
    <w:p w:rsidR="00000000" w:rsidRPr="000E4B6E" w:rsidP="000E4B6E">
      <w:pPr>
        <w:pStyle w:val="ListBullet2"/>
      </w:pPr>
      <w:r w:rsidRPr="000E4B6E">
        <w:t xml:space="preserve">ratios </w:t>
      </w:r>
    </w:p>
    <w:p w:rsidR="00000000" w:rsidRPr="000E4B6E" w:rsidP="000E4B6E">
      <w:pPr>
        <w:pStyle w:val="ListBullet2"/>
      </w:pPr>
      <w:r w:rsidRPr="000E4B6E">
        <w:t>range</w:t>
      </w:r>
    </w:p>
    <w:p w:rsidR="00000000" w:rsidRPr="000E4B6E" w:rsidP="000E4B6E">
      <w:pPr>
        <w:pStyle w:val="ListBullet2"/>
      </w:pPr>
      <w:r w:rsidRPr="000E4B6E">
        <w:t>standard deviation</w:t>
      </w:r>
    </w:p>
    <w:p w:rsidR="00000000" w:rsidRPr="000E4B6E" w:rsidP="000E4B6E">
      <w:pPr>
        <w:pStyle w:val="ListBullet"/>
      </w:pPr>
      <w:r w:rsidRPr="000E4B6E">
        <w:t>performed at least 4 of the following calculations:</w:t>
      </w:r>
    </w:p>
    <w:p w:rsidR="00000000" w:rsidRPr="000E4B6E" w:rsidP="000E4B6E">
      <w:pPr>
        <w:pStyle w:val="ListBullet2"/>
      </w:pPr>
      <w:r w:rsidRPr="000E4B6E">
        <w:t>dimensions of 2D shapes, including perimeters and areas</w:t>
      </w:r>
    </w:p>
    <w:p w:rsidR="00000000" w:rsidRPr="000E4B6E" w:rsidP="000E4B6E">
      <w:pPr>
        <w:pStyle w:val="ListBullet2"/>
      </w:pPr>
      <w:r w:rsidRPr="000E4B6E">
        <w:t>dimensions of 3D shapes, including areas and volumes</w:t>
      </w:r>
    </w:p>
    <w:p w:rsidR="00000000" w:rsidRPr="000E4B6E" w:rsidP="000E4B6E">
      <w:pPr>
        <w:pStyle w:val="ListBullet2"/>
      </w:pPr>
      <w:r w:rsidRPr="000E4B6E">
        <w:t>logarithmic functions</w:t>
      </w:r>
    </w:p>
    <w:p w:rsidR="00000000" w:rsidRPr="000E4B6E" w:rsidP="000E4B6E">
      <w:pPr>
        <w:pStyle w:val="ListBullet2"/>
      </w:pPr>
      <w:r w:rsidRPr="000E4B6E">
        <w:t>trigonometric functions, including trigonometric rat</w:t>
      </w:r>
      <w:r w:rsidRPr="000E4B6E">
        <w:t xml:space="preserve">ios (sin cos tan) and Pythagoras theorem </w:t>
      </w:r>
    </w:p>
    <w:p w:rsidR="00000000" w:rsidRPr="000E4B6E" w:rsidP="000E4B6E">
      <w:pPr>
        <w:pStyle w:val="ListBullet2"/>
      </w:pPr>
      <w:r w:rsidRPr="000E4B6E">
        <w:t>absolute and relative uncertainties in measurements and test results</w:t>
      </w:r>
    </w:p>
    <w:p w:rsidR="00000000" w:rsidRPr="000E4B6E" w:rsidP="000E4B6E">
      <w:pPr>
        <w:pStyle w:val="ListBullet2"/>
      </w:pPr>
      <w:r w:rsidRPr="000E4B6E">
        <w:t xml:space="preserve">industry specific quantities </w:t>
      </w:r>
    </w:p>
    <w:p w:rsidR="00000000" w:rsidRPr="000E4B6E" w:rsidP="000E4B6E">
      <w:pPr>
        <w:pStyle w:val="ListBullet2"/>
      </w:pPr>
      <w:r w:rsidRPr="000E4B6E">
        <w:t>concentration</w:t>
      </w:r>
    </w:p>
    <w:p w:rsidR="00000000" w:rsidRPr="000E4B6E" w:rsidP="000E4B6E">
      <w:pPr>
        <w:pStyle w:val="ListBullet2"/>
      </w:pPr>
      <w:r w:rsidRPr="000E4B6E">
        <w:t xml:space="preserve">enumeration of microbiological organisms </w:t>
      </w:r>
    </w:p>
    <w:p w:rsidR="00000000" w:rsidRPr="000E4B6E" w:rsidP="000E4B6E">
      <w:pPr>
        <w:pStyle w:val="ListBullet2"/>
      </w:pPr>
      <w:r w:rsidRPr="000E4B6E">
        <w:t xml:space="preserve">process variables </w:t>
      </w:r>
    </w:p>
    <w:p w:rsidR="00000000" w:rsidRPr="000E4B6E" w:rsidP="000E4B6E">
      <w:pPr>
        <w:pStyle w:val="ListBullet2"/>
      </w:pPr>
      <w:r w:rsidRPr="000E4B6E">
        <w:t xml:space="preserve">food properties </w:t>
      </w:r>
    </w:p>
    <w:p w:rsidR="00000000" w:rsidRPr="000E4B6E" w:rsidP="000E4B6E">
      <w:pPr>
        <w:pStyle w:val="ListBullet2"/>
      </w:pPr>
      <w:r w:rsidRPr="000E4B6E">
        <w:t>mechanical properties</w:t>
      </w:r>
    </w:p>
    <w:p w:rsidR="00000000" w:rsidRPr="000E4B6E" w:rsidP="000E4B6E">
      <w:pPr>
        <w:pStyle w:val="ListBullet"/>
      </w:pPr>
      <w:r w:rsidRPr="000E4B6E">
        <w:t>presented accurate results in the required format (significant figures, uncertainty units)</w:t>
      </w:r>
    </w:p>
    <w:p w:rsidR="00000000" w:rsidRPr="000E4B6E" w:rsidP="000E4B6E">
      <w:pPr>
        <w:pStyle w:val="ListBullet"/>
      </w:pPr>
      <w:r w:rsidRPr="000E4B6E">
        <w:t>performed sort, filter and basic calculations using computer software</w:t>
      </w:r>
    </w:p>
    <w:p w:rsidR="00000000" w:rsidRPr="000E4B6E" w:rsidP="000E4B6E">
      <w:pPr>
        <w:pStyle w:val="ListBullet"/>
      </w:pPr>
      <w:r w:rsidRPr="000E4B6E">
        <w:t>prepared and presented data in at least 5 of the following formats using computer software:</w:t>
      </w:r>
    </w:p>
    <w:p w:rsidR="00000000" w:rsidRPr="000E4B6E" w:rsidP="000E4B6E">
      <w:pPr>
        <w:pStyle w:val="ListBullet2"/>
      </w:pPr>
      <w:r w:rsidRPr="000E4B6E">
        <w:t>ta</w:t>
      </w:r>
      <w:r w:rsidRPr="000E4B6E">
        <w:t>bles</w:t>
      </w:r>
    </w:p>
    <w:p w:rsidR="00000000" w:rsidRPr="000E4B6E" w:rsidP="000E4B6E">
      <w:pPr>
        <w:pStyle w:val="ListBullet2"/>
      </w:pPr>
      <w:r w:rsidRPr="000E4B6E">
        <w:t>line graphs</w:t>
      </w:r>
    </w:p>
    <w:p w:rsidR="00000000" w:rsidRPr="000E4B6E" w:rsidP="000E4B6E">
      <w:pPr>
        <w:pStyle w:val="ListBullet2"/>
      </w:pPr>
      <w:r w:rsidRPr="000E4B6E">
        <w:t>scatter plot</w:t>
      </w:r>
    </w:p>
    <w:p w:rsidR="00000000" w:rsidRPr="000E4B6E" w:rsidP="000E4B6E">
      <w:pPr>
        <w:pStyle w:val="ListBullet2"/>
      </w:pPr>
      <w:r w:rsidRPr="000E4B6E">
        <w:t>pie charts</w:t>
      </w:r>
    </w:p>
    <w:p w:rsidR="00000000" w:rsidRPr="000E4B6E" w:rsidP="000E4B6E">
      <w:pPr>
        <w:pStyle w:val="ListBullet2"/>
      </w:pPr>
      <w:r w:rsidRPr="000E4B6E">
        <w:t>bar charts</w:t>
      </w:r>
    </w:p>
    <w:p w:rsidR="00000000" w:rsidRPr="000E4B6E" w:rsidP="000E4B6E">
      <w:pPr>
        <w:pStyle w:val="ListBullet2"/>
      </w:pPr>
      <w:r w:rsidRPr="000E4B6E">
        <w:t xml:space="preserve">control charts </w:t>
      </w:r>
    </w:p>
    <w:p w:rsidR="00000000" w:rsidRPr="000E4B6E" w:rsidP="000E4B6E">
      <w:pPr>
        <w:pStyle w:val="ListBullet2"/>
      </w:pPr>
      <w:r w:rsidRPr="000E4B6E">
        <w:t>semi-quantitative observations expressed on a scale: 1 to 4 or + to ++++</w:t>
      </w:r>
    </w:p>
    <w:p w:rsidR="00000000" w:rsidRPr="000E4B6E" w:rsidP="000E4B6E">
      <w:pPr>
        <w:pStyle w:val="ListBullet"/>
      </w:pPr>
      <w:r w:rsidRPr="000E4B6E">
        <w:t xml:space="preserve">recognised and interpreted the following significant features in data: </w:t>
      </w:r>
    </w:p>
    <w:p w:rsidR="00000000" w:rsidRPr="000E4B6E" w:rsidP="000E4B6E">
      <w:pPr>
        <w:pStyle w:val="ListBullet2"/>
      </w:pPr>
      <w:r w:rsidRPr="000E4B6E">
        <w:t>gradients</w:t>
      </w:r>
    </w:p>
    <w:p w:rsidR="00000000" w:rsidRPr="000E4B6E" w:rsidP="000E4B6E">
      <w:pPr>
        <w:pStyle w:val="ListBullet2"/>
      </w:pPr>
      <w:r w:rsidRPr="000E4B6E">
        <w:t>intercepts</w:t>
      </w:r>
    </w:p>
    <w:p w:rsidR="00000000" w:rsidRPr="000E4B6E" w:rsidP="000E4B6E">
      <w:pPr>
        <w:pStyle w:val="ListBullet2"/>
      </w:pPr>
      <w:r w:rsidRPr="000E4B6E">
        <w:t>maxi</w:t>
      </w:r>
      <w:r w:rsidRPr="000E4B6E">
        <w:t>mum and minimum values</w:t>
      </w:r>
    </w:p>
    <w:p w:rsidR="00000000" w:rsidRPr="000E4B6E" w:rsidP="000E4B6E">
      <w:pPr>
        <w:pStyle w:val="ListBullet2"/>
      </w:pPr>
      <w:r w:rsidRPr="000E4B6E">
        <w:t>limit lines</w:t>
      </w:r>
    </w:p>
    <w:p w:rsidR="00F0754C" w:rsidP="000E4B6E">
      <w:pPr>
        <w:pStyle w:val="ListBullet2"/>
      </w:pPr>
      <w:r w:rsidRPr="000E4B6E">
        <w:t>anomalies and trends.</w:t>
      </w:r>
    </w:p>
    <w:p w:rsidR="00F0754C" w:rsidP="000E4B6E">
      <w:pPr>
        <w:pStyle w:val="ListBullet2"/>
      </w:pPr>
    </w:p>
    <w:p w:rsidR="00000000" w:rsidRPr="000E4B6E" w:rsidP="000E4B6E">
      <w:pPr>
        <w:pStyle w:val="Heading1"/>
      </w:pPr>
      <w:bookmarkStart w:id="3" w:name="O_1257644"/>
      <w:bookmarkEnd w:id="3"/>
      <w:r w:rsidRPr="000E4B6E">
        <w:t>Knowledge Evidence</w:t>
      </w:r>
    </w:p>
    <w:p w:rsidR="00000000" w:rsidRPr="000E4B6E" w:rsidP="00F0754C">
      <w:pPr>
        <w:pStyle w:val="BodyText"/>
      </w:pPr>
      <w:r w:rsidRPr="000E4B6E">
        <w:t>There must be evidence the candidate has knowledge of:</w:t>
      </w:r>
    </w:p>
    <w:p w:rsidR="00000000" w:rsidRPr="000E4B6E" w:rsidP="000E4B6E">
      <w:pPr>
        <w:pStyle w:val="ListBullet"/>
      </w:pPr>
      <w:r w:rsidRPr="000E4B6E">
        <w:t>concepts of metrology, including:</w:t>
      </w:r>
    </w:p>
    <w:p w:rsidR="00000000" w:rsidRPr="000E4B6E" w:rsidP="000E4B6E">
      <w:pPr>
        <w:pStyle w:val="ListBullet2"/>
      </w:pPr>
      <w:r w:rsidRPr="000E4B6E">
        <w:t>that all measurements are estimates</w:t>
      </w:r>
    </w:p>
    <w:p w:rsidR="00000000" w:rsidRPr="000E4B6E" w:rsidP="000E4B6E">
      <w:pPr>
        <w:pStyle w:val="ListBullet2"/>
      </w:pPr>
      <w:r w:rsidRPr="000E4B6E">
        <w:t>difference between error and correction</w:t>
      </w:r>
    </w:p>
    <w:p w:rsidR="00000000" w:rsidRPr="000E4B6E" w:rsidP="000E4B6E">
      <w:pPr>
        <w:pStyle w:val="ListBullet2"/>
      </w:pPr>
      <w:r w:rsidRPr="000E4B6E">
        <w:t>repeatability, precision, accuracy and uncertainty associated with each measurement result</w:t>
      </w:r>
    </w:p>
    <w:p w:rsidR="00000000" w:rsidRPr="000E4B6E" w:rsidP="000E4B6E">
      <w:pPr>
        <w:pStyle w:val="ListBullet2"/>
      </w:pPr>
      <w:r w:rsidRPr="000E4B6E">
        <w:t xml:space="preserve">sources of error and uncertainty </w:t>
      </w:r>
    </w:p>
    <w:p w:rsidR="00000000" w:rsidRPr="000E4B6E" w:rsidP="000E4B6E">
      <w:pPr>
        <w:pStyle w:val="ListBullet2"/>
      </w:pPr>
      <w:r w:rsidRPr="000E4B6E">
        <w:t>metrological traceability</w:t>
      </w:r>
    </w:p>
    <w:p w:rsidR="00000000" w:rsidRPr="000E4B6E" w:rsidP="000E4B6E">
      <w:pPr>
        <w:pStyle w:val="ListBullet2"/>
      </w:pPr>
      <w:r w:rsidRPr="000E4B6E">
        <w:t>significant figures</w:t>
      </w:r>
    </w:p>
    <w:p w:rsidR="00000000" w:rsidRPr="000E4B6E" w:rsidP="000E4B6E">
      <w:pPr>
        <w:pStyle w:val="ListBullet"/>
      </w:pPr>
      <w:r w:rsidRPr="000E4B6E">
        <w:t xml:space="preserve">the international system of units (SI) </w:t>
      </w:r>
    </w:p>
    <w:p w:rsidR="00000000" w:rsidRPr="000E4B6E" w:rsidP="000E4B6E">
      <w:pPr>
        <w:pStyle w:val="ListBullet"/>
      </w:pPr>
      <w:r w:rsidRPr="000E4B6E">
        <w:t>exis</w:t>
      </w:r>
      <w:r w:rsidRPr="000E4B6E">
        <w:t>tence and purpose of national measurement regulations and guidelines and how this relates to job role</w:t>
      </w:r>
    </w:p>
    <w:p w:rsidR="00000000" w:rsidRPr="000E4B6E" w:rsidP="000E4B6E">
      <w:pPr>
        <w:pStyle w:val="ListBullet"/>
      </w:pPr>
      <w:r w:rsidRPr="000E4B6E">
        <w:t>scientific quantities and calculations relevant to job role</w:t>
      </w:r>
    </w:p>
    <w:p w:rsidR="00000000" w:rsidRPr="000E4B6E" w:rsidP="000E4B6E">
      <w:pPr>
        <w:pStyle w:val="ListBullet"/>
      </w:pPr>
      <w:r w:rsidRPr="000E4B6E">
        <w:t>types of data processing software</w:t>
      </w:r>
    </w:p>
    <w:p w:rsidR="00000000" w:rsidRPr="000E4B6E" w:rsidP="000E4B6E">
      <w:pPr>
        <w:pStyle w:val="ListBullet"/>
      </w:pPr>
      <w:r w:rsidRPr="000E4B6E">
        <w:t>workplace procedures for:</w:t>
      </w:r>
    </w:p>
    <w:p w:rsidR="00000000" w:rsidRPr="000E4B6E" w:rsidP="000E4B6E">
      <w:pPr>
        <w:pStyle w:val="ListBullet2"/>
      </w:pPr>
      <w:r w:rsidRPr="000E4B6E">
        <w:t>coding, entering, storing, retrieving and communicating data</w:t>
      </w:r>
    </w:p>
    <w:p w:rsidR="00000000" w:rsidRPr="000E4B6E" w:rsidP="000E4B6E">
      <w:pPr>
        <w:pStyle w:val="ListBullet2"/>
      </w:pPr>
      <w:r w:rsidRPr="000E4B6E">
        <w:t>verifying data and rectifying mistakes</w:t>
      </w:r>
    </w:p>
    <w:p w:rsidR="00F0754C" w:rsidP="000E4B6E">
      <w:pPr>
        <w:pStyle w:val="ListBullet2"/>
      </w:pPr>
      <w:r w:rsidRPr="000E4B6E">
        <w:t>maintaining and filing records and maintaining security of data.</w:t>
      </w:r>
    </w:p>
    <w:p w:rsidR="00F0754C" w:rsidP="000E4B6E">
      <w:pPr>
        <w:pStyle w:val="ListBullet2"/>
      </w:pPr>
    </w:p>
    <w:p w:rsidR="00000000" w:rsidRPr="000E4B6E" w:rsidP="000E4B6E">
      <w:pPr>
        <w:pStyle w:val="Heading1"/>
      </w:pPr>
      <w:bookmarkStart w:id="4" w:name="O_1257645"/>
      <w:bookmarkEnd w:id="4"/>
      <w:r w:rsidRPr="000E4B6E">
        <w:t>Assessment Conditions</w:t>
      </w:r>
    </w:p>
    <w:p w:rsidR="00000000" w:rsidRPr="000E4B6E" w:rsidP="00F0754C">
      <w:pPr>
        <w:pStyle w:val="BodyText"/>
      </w:pPr>
      <w:r w:rsidRPr="000E4B6E">
        <w:t>Skills must have been demonstrated in the workpla</w:t>
      </w:r>
      <w:r w:rsidRPr="000E4B6E">
        <w:t xml:space="preserve">ce or in a simulated environment that reflects workplace conditions and contingencies. The following conditions must be met for this unit: </w:t>
      </w:r>
    </w:p>
    <w:p w:rsidR="00000000" w:rsidRPr="000E4B6E" w:rsidP="000E4B6E">
      <w:pPr>
        <w:pStyle w:val="ListBullet"/>
      </w:pPr>
      <w:r w:rsidRPr="000E4B6E">
        <w:t>use of suitable facilities, equipment and resources, including:</w:t>
      </w:r>
    </w:p>
    <w:p w:rsidR="00000000" w:rsidRPr="000E4B6E" w:rsidP="000E4B6E">
      <w:pPr>
        <w:pStyle w:val="ListBullet2"/>
      </w:pPr>
      <w:r w:rsidRPr="000E4B6E">
        <w:t>data sets and records</w:t>
      </w:r>
    </w:p>
    <w:p w:rsidR="00000000" w:rsidRPr="000E4B6E" w:rsidP="000E4B6E">
      <w:pPr>
        <w:pStyle w:val="ListBullet2"/>
      </w:pPr>
      <w:r w:rsidRPr="000E4B6E">
        <w:t>calculator, computer and rel</w:t>
      </w:r>
      <w:r w:rsidRPr="000E4B6E">
        <w:t>evant software or laboratory information management system</w:t>
      </w:r>
    </w:p>
    <w:p w:rsidR="00000000" w:rsidRPr="000E4B6E" w:rsidP="000E4B6E">
      <w:pPr>
        <w:pStyle w:val="ListBullet2"/>
      </w:pPr>
      <w:r w:rsidRPr="000E4B6E">
        <w:t>workplace procedures.</w:t>
      </w:r>
    </w:p>
    <w:p w:rsidR="00F0754C" w:rsidP="00F0754C">
      <w:pPr>
        <w:pStyle w:val="BodyText"/>
      </w:pPr>
      <w:r w:rsidRPr="000E4B6E">
        <w:t>Assessors must satisfy the NVR/AQTF mandatory competency requirements for assessors.</w:t>
      </w:r>
    </w:p>
    <w:p w:rsidR="00000000" w:rsidRPr="000E4B6E" w:rsidP="000E4B6E">
      <w:pPr>
        <w:pStyle w:val="Heading1"/>
      </w:pPr>
      <w:bookmarkStart w:id="5" w:name="O_1257648"/>
      <w:bookmarkEnd w:id="5"/>
      <w:r w:rsidRPr="000E4B6E">
        <w:t>Links</w:t>
      </w:r>
    </w:p>
    <w:p w:rsidR="00000000" w:rsidRPr="000E4B6E" w:rsidP="00F0754C">
      <w:pPr>
        <w:pStyle w:val="BodyText"/>
      </w:pPr>
      <w:r w:rsidRPr="000E4B6E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C0B4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E4B6E" w:rsidP="000E4B6E"/>
    <w:sectPr w:rsidSect="000E4B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B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B6E" w:rsidRPr="00F0754C" w:rsidP="00F075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B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54C" w:rsidP="000E4B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754C" w:rsidP="000E4B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0754C" w:rsidP="000E4B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B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5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4B6E" w:rsidRPr="00F0754C" w:rsidP="00F075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B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54C" w:rsidRPr="002D2AF8" w:rsidP="000E4B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MSL924005 Process and interpret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0754C" w:rsidP="000E4B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F82F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465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32A3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B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B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B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B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B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B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B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B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B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B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B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B6E"/>
  </w:style>
  <w:style w:type="character" w:customStyle="1" w:styleId="Heading1Char">
    <w:name w:val="Heading 1 Char"/>
    <w:basedOn w:val="DefaultParagraphFont"/>
    <w:link w:val="Heading1"/>
    <w:rsid w:val="000E4B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4B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B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4B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4B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4B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4B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4B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4B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B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B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B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B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B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B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B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B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B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B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B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B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4B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4B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4B6E"/>
    <w:rPr>
      <w:b/>
      <w:spacing w:val="0"/>
    </w:rPr>
  </w:style>
  <w:style w:type="paragraph" w:customStyle="1" w:styleId="SuperTitle">
    <w:name w:val="SuperTitle"/>
    <w:basedOn w:val="Title"/>
    <w:rsid w:val="000E4B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B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B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4B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B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B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B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B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B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B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B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B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4B6E"/>
    <w:rPr>
      <w:i/>
    </w:rPr>
  </w:style>
  <w:style w:type="paragraph" w:styleId="Caption">
    <w:name w:val="caption"/>
    <w:basedOn w:val="BodyText"/>
    <w:next w:val="Normal"/>
    <w:qFormat/>
    <w:rsid w:val="000E4B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B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B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B6E"/>
  </w:style>
  <w:style w:type="paragraph" w:styleId="TableofFigures">
    <w:name w:val="table of figures"/>
    <w:basedOn w:val="Normal"/>
    <w:next w:val="Normal"/>
    <w:semiHidden/>
    <w:rsid w:val="000E4B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B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4B6E"/>
    <w:rPr>
      <w:rFonts w:ascii="Wingdings" w:hAnsi="Wingdings"/>
    </w:rPr>
  </w:style>
  <w:style w:type="paragraph" w:customStyle="1" w:styleId="TableHeading">
    <w:name w:val="Table Heading"/>
    <w:basedOn w:val="HeadingBase"/>
    <w:rsid w:val="000E4B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4B6E"/>
    <w:rPr>
      <w:color w:val="0033CC"/>
      <w:u w:val="none"/>
    </w:rPr>
  </w:style>
  <w:style w:type="paragraph" w:customStyle="1" w:styleId="BodyTextRight">
    <w:name w:val="Body Text Right"/>
    <w:basedOn w:val="BodyText"/>
    <w:rsid w:val="000E4B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B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B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B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B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B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B6E"/>
    <w:rPr>
      <w:sz w:val="32"/>
    </w:rPr>
  </w:style>
  <w:style w:type="paragraph" w:customStyle="1" w:styleId="HeadingProcedure">
    <w:name w:val="Heading Procedure"/>
    <w:basedOn w:val="HeadingBase"/>
    <w:next w:val="Normal"/>
    <w:rsid w:val="000E4B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B6E"/>
    <w:pPr>
      <w:spacing w:before="60" w:after="60"/>
    </w:pPr>
  </w:style>
  <w:style w:type="paragraph" w:styleId="ListContinue">
    <w:name w:val="List Continue"/>
    <w:basedOn w:val="List"/>
    <w:rsid w:val="000E4B6E"/>
    <w:pPr>
      <w:ind w:firstLine="0"/>
    </w:pPr>
  </w:style>
  <w:style w:type="paragraph" w:customStyle="1" w:styleId="ListNote">
    <w:name w:val="List Note"/>
    <w:basedOn w:val="List"/>
    <w:rsid w:val="000E4B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B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B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B6E"/>
    <w:rPr>
      <w:rFonts w:ascii="Courier New" w:hAnsi="Courier New"/>
    </w:rPr>
  </w:style>
  <w:style w:type="paragraph" w:customStyle="1" w:styleId="NoteBullet">
    <w:name w:val="Note Bullet"/>
    <w:basedOn w:val="Note"/>
    <w:rsid w:val="000E4B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B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B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B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B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4B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B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B6E"/>
    <w:rPr>
      <w:b/>
      <w:smallCaps/>
    </w:rPr>
  </w:style>
  <w:style w:type="paragraph" w:customStyle="1" w:styleId="TableListNumber">
    <w:name w:val="Table List Number"/>
    <w:basedOn w:val="ListNumber"/>
    <w:rsid w:val="000E4B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B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B6E"/>
    <w:pPr>
      <w:numPr>
        <w:numId w:val="9"/>
      </w:numPr>
    </w:pPr>
  </w:style>
  <w:style w:type="paragraph" w:customStyle="1" w:styleId="ListAlpha2">
    <w:name w:val="List Alpha 2"/>
    <w:basedOn w:val="List2"/>
    <w:rsid w:val="000E4B6E"/>
    <w:pPr>
      <w:numPr>
        <w:numId w:val="8"/>
      </w:numPr>
    </w:pPr>
  </w:style>
  <w:style w:type="paragraph" w:styleId="List2">
    <w:name w:val="List 2"/>
    <w:basedOn w:val="BodyText"/>
    <w:rsid w:val="000E4B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B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B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B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4B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4B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4B6E"/>
    <w:pPr>
      <w:numPr>
        <w:numId w:val="4"/>
      </w:numPr>
    </w:pPr>
  </w:style>
  <w:style w:type="paragraph" w:styleId="ListContinue2">
    <w:name w:val="List Continue 2"/>
    <w:basedOn w:val="List2"/>
    <w:rsid w:val="000E4B6E"/>
    <w:pPr>
      <w:ind w:firstLine="0"/>
    </w:pPr>
  </w:style>
  <w:style w:type="paragraph" w:styleId="ListContinue3">
    <w:name w:val="List Continue 3"/>
    <w:basedOn w:val="List3"/>
    <w:rsid w:val="000E4B6E"/>
    <w:pPr>
      <w:ind w:left="1021" w:firstLine="0"/>
    </w:pPr>
  </w:style>
  <w:style w:type="paragraph" w:styleId="ListContinue4">
    <w:name w:val="List Continue 4"/>
    <w:basedOn w:val="List4"/>
    <w:rsid w:val="000E4B6E"/>
    <w:pPr>
      <w:ind w:firstLine="0"/>
    </w:pPr>
  </w:style>
  <w:style w:type="paragraph" w:styleId="ListContinue5">
    <w:name w:val="List Continue 5"/>
    <w:basedOn w:val="List5"/>
    <w:rsid w:val="000E4B6E"/>
    <w:pPr>
      <w:ind w:firstLine="0"/>
    </w:pPr>
  </w:style>
  <w:style w:type="paragraph" w:styleId="ListNumber3">
    <w:name w:val="List Number 3"/>
    <w:basedOn w:val="List3"/>
    <w:rsid w:val="000E4B6E"/>
    <w:pPr>
      <w:numPr>
        <w:numId w:val="5"/>
      </w:numPr>
    </w:pPr>
  </w:style>
  <w:style w:type="paragraph" w:styleId="ListNumber4">
    <w:name w:val="List Number 4"/>
    <w:basedOn w:val="List4"/>
    <w:rsid w:val="000E4B6E"/>
    <w:pPr>
      <w:numPr>
        <w:numId w:val="6"/>
      </w:numPr>
    </w:pPr>
  </w:style>
  <w:style w:type="paragraph" w:styleId="ListNumber5">
    <w:name w:val="List Number 5"/>
    <w:basedOn w:val="List5"/>
    <w:rsid w:val="000E4B6E"/>
    <w:pPr>
      <w:numPr>
        <w:numId w:val="7"/>
      </w:numPr>
    </w:pPr>
  </w:style>
  <w:style w:type="paragraph" w:styleId="BlockText">
    <w:name w:val="Block Text"/>
    <w:basedOn w:val="Normal"/>
    <w:rsid w:val="000E4B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B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B6E"/>
    <w:rPr>
      <w:sz w:val="16"/>
      <w:vertAlign w:val="superscript"/>
    </w:rPr>
  </w:style>
  <w:style w:type="character" w:customStyle="1" w:styleId="Symbols">
    <w:name w:val="Symbols"/>
    <w:basedOn w:val="DefaultParagraphFont"/>
    <w:rsid w:val="000E4B6E"/>
    <w:rPr>
      <w:rFonts w:ascii="Symbol" w:hAnsi="Symbol"/>
    </w:rPr>
  </w:style>
  <w:style w:type="character" w:customStyle="1" w:styleId="MenuOptions">
    <w:name w:val="Menu Options"/>
    <w:basedOn w:val="DefaultParagraphFont"/>
    <w:rsid w:val="000E4B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B6E"/>
    <w:rPr>
      <w:b/>
    </w:rPr>
  </w:style>
  <w:style w:type="character" w:customStyle="1" w:styleId="Underlined">
    <w:name w:val="Underlined"/>
    <w:basedOn w:val="DefaultParagraphFont"/>
    <w:rsid w:val="000E4B6E"/>
    <w:rPr>
      <w:u w:val="single"/>
    </w:rPr>
  </w:style>
  <w:style w:type="paragraph" w:customStyle="1" w:styleId="TableBodyTextRight">
    <w:name w:val="Table Body Text Right"/>
    <w:basedOn w:val="TableBodyText"/>
    <w:rsid w:val="000E4B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B6E"/>
    <w:rPr>
      <w:sz w:val="18"/>
    </w:rPr>
  </w:style>
  <w:style w:type="paragraph" w:customStyle="1" w:styleId="BodySmallRight">
    <w:name w:val="Body Small Right"/>
    <w:basedOn w:val="BodyTextRight"/>
    <w:rsid w:val="000E4B6E"/>
    <w:rPr>
      <w:sz w:val="18"/>
      <w:szCs w:val="18"/>
    </w:rPr>
  </w:style>
  <w:style w:type="paragraph" w:customStyle="1" w:styleId="MarginEdition">
    <w:name w:val="Margin Edition"/>
    <w:basedOn w:val="MarginNote"/>
    <w:rsid w:val="000E4B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B6E"/>
    <w:rPr>
      <w:sz w:val="2"/>
      <w:szCs w:val="2"/>
    </w:rPr>
  </w:style>
  <w:style w:type="character" w:customStyle="1" w:styleId="Small">
    <w:name w:val="Small"/>
    <w:basedOn w:val="DefaultParagraphFont"/>
    <w:rsid w:val="000E4B6E"/>
    <w:rPr>
      <w:sz w:val="16"/>
    </w:rPr>
  </w:style>
  <w:style w:type="paragraph" w:customStyle="1" w:styleId="WideTable">
    <w:name w:val="Wide Table"/>
    <w:basedOn w:val="Normal"/>
    <w:rsid w:val="000E4B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B6E"/>
  </w:style>
  <w:style w:type="paragraph" w:styleId="Quote">
    <w:name w:val="Quote"/>
    <w:basedOn w:val="Heading1"/>
    <w:link w:val="QuoteChar"/>
    <w:qFormat/>
    <w:rsid w:val="000E4B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B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B6E"/>
    <w:pPr>
      <w:pageBreakBefore/>
    </w:pPr>
  </w:style>
  <w:style w:type="paragraph" w:customStyle="1" w:styleId="Border">
    <w:name w:val="Border"/>
    <w:basedOn w:val="Normal"/>
    <w:qFormat/>
    <w:rsid w:val="000E4B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B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B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B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B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B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B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B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B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B6E"/>
    <w:rPr>
      <w:u w:val="single"/>
    </w:rPr>
  </w:style>
  <w:style w:type="character" w:customStyle="1" w:styleId="BoldandItalics">
    <w:name w:val="Bold and Italics"/>
    <w:qFormat/>
    <w:rsid w:val="000E4B6E"/>
    <w:rPr>
      <w:b/>
      <w:i/>
      <w:u w:val="none"/>
    </w:rPr>
  </w:style>
  <w:style w:type="paragraph" w:styleId="BalloonText">
    <w:name w:val="Balloon Text"/>
    <w:basedOn w:val="Normal"/>
    <w:link w:val="BalloonTextChar"/>
    <w:rsid w:val="000E4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B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B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B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B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B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4B6E"/>
    <w:pPr>
      <w:spacing w:before="0" w:after="0"/>
    </w:pPr>
  </w:style>
  <w:style w:type="paragraph" w:customStyle="1" w:styleId="BodyTextBold">
    <w:name w:val="Body Text Bold"/>
    <w:basedOn w:val="BodyText"/>
    <w:qFormat/>
    <w:rsid w:val="000E4B6E"/>
    <w:rPr>
      <w:b/>
    </w:rPr>
  </w:style>
  <w:style w:type="character" w:styleId="Hyperlink">
    <w:name w:val="Hyperlink"/>
    <w:basedOn w:val="DefaultParagraphFont"/>
    <w:uiPriority w:val="99"/>
    <w:unhideWhenUsed/>
    <w:rsid w:val="00F075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468</Words>
  <Characters>3226</Characters>
  <Application>Microsoft Office Word</Application>
  <DocSecurity>0</DocSecurity>
  <Lines>100</Lines>
  <Paragraphs>87</Paragraphs>
  <ScaleCrop>false</ScaleCrop>
  <Company>Author-it Software Corporation Ltd.</Company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MSL924005 Process and interpret data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2025-02-11T05:55:00Z</dcterms:modified>
</cp:coreProperties>
</file>