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3B94" w:rsidP="00AE3B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MSL916009 Maintain registration and statutory or legal compliance in work or functional area</w:t>
      </w:r>
      <w:r>
        <w:fldChar w:fldCharType="end"/>
      </w:r>
    </w:p>
    <w:p w:rsidR="00AE3B94" w:rsidP="00AE3B94">
      <w:pPr>
        <w:pStyle w:val="Version"/>
        <w:sectPr w:rsidSect="00BF53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33A" w:rsidP="00BF533A">
      <w:pPr>
        <w:pStyle w:val="SuperHeading"/>
      </w:pPr>
      <w:r w:rsidRPr="00BF533A">
        <w:t>MSL916009 Maintain registration and statutory or legal compliance in work or functional area</w:t>
      </w:r>
    </w:p>
    <w:p w:rsidR="00000000" w:rsidRPr="00BF533A" w:rsidP="00BF533A">
      <w:pPr>
        <w:pStyle w:val="Heading1"/>
      </w:pPr>
      <w:bookmarkStart w:id="1" w:name="O_985838"/>
      <w:bookmarkEnd w:id="1"/>
      <w:r w:rsidRPr="00BF53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533A" w:rsidP="00BF533A">
            <w:pPr>
              <w:pStyle w:val="BodyText"/>
            </w:pPr>
            <w:r w:rsidRPr="00BF533A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rPr>
                <w:rStyle w:val="SpecialBold"/>
              </w:rPr>
              <w:t>Comments</w:t>
            </w: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33A" w:rsidP="00BF533A">
            <w:pPr>
              <w:pStyle w:val="BodyText"/>
            </w:pPr>
            <w:r w:rsidRPr="00BF533A">
              <w:t xml:space="preserve">This version was released in </w:t>
            </w:r>
            <w:r w:rsidRPr="00BF533A">
              <w:rPr>
                <w:rStyle w:val="Emphasis"/>
              </w:rPr>
              <w:t>MSL Laboratory Operations Training Package Release 2.0.</w:t>
            </w:r>
          </w:p>
          <w:p w:rsidR="00000000" w:rsidRPr="00BF533A" w:rsidP="00BF533A">
            <w:pPr>
              <w:pStyle w:val="BodyText"/>
            </w:pPr>
            <w:r w:rsidRPr="00BF533A">
              <w:t>Supersedes and equivalent to MSL916004 Maintain registration and statutory or legal compliance in work or functional area. Range of conditions removed. Assessment requirements amended.</w:t>
            </w:r>
          </w:p>
        </w:tc>
      </w:tr>
    </w:tbl>
    <w:p w:rsidR="00000000" w:rsidRPr="00BF533A" w:rsidP="00BF533A">
      <w:pPr>
        <w:pStyle w:val="BodyText"/>
      </w:pPr>
    </w:p>
    <w:p w:rsidR="00000000" w:rsidRPr="00BF533A" w:rsidP="00BF533A">
      <w:pPr>
        <w:pStyle w:val="AllowPageBreak"/>
      </w:pPr>
    </w:p>
    <w:p w:rsidR="00000000" w:rsidRPr="00BF533A" w:rsidP="00BF533A">
      <w:pPr>
        <w:pStyle w:val="Heading1"/>
      </w:pPr>
      <w:bookmarkStart w:id="2" w:name="O_985844"/>
      <w:bookmarkEnd w:id="2"/>
      <w:r w:rsidRPr="00BF533A">
        <w:t>Application</w:t>
      </w:r>
    </w:p>
    <w:p w:rsidR="00000000" w:rsidRPr="00BF533A" w:rsidP="00AE3B94">
      <w:pPr>
        <w:pStyle w:val="BodyText"/>
      </w:pPr>
      <w:r w:rsidRPr="00BF533A">
        <w:t>This unit of competency describes the sk</w:t>
      </w:r>
      <w:r w:rsidRPr="00BF533A">
        <w:t>ills and knowledge to take responsibility for the day-to-day operation of the work or functional area and its compliance with legislation and licensing, registration, ethical or accreditation requirements, for example, National Association of Testing Autho</w:t>
      </w:r>
      <w:r w:rsidRPr="00BF533A">
        <w:t>rities (NATA), and workplace policies and procedures.</w:t>
      </w:r>
    </w:p>
    <w:p w:rsidR="00000000" w:rsidRPr="00BF533A" w:rsidP="00AE3B94">
      <w:pPr>
        <w:pStyle w:val="BodyText"/>
      </w:pPr>
      <w:r w:rsidRPr="00BF533A">
        <w:t>This unit applies to senior technical officers and laboratory supervisors in all industry sectors. While statutory or legal compliance is the responsibility of all personnel, supervisors have an import</w:t>
      </w:r>
      <w:r w:rsidRPr="00BF533A">
        <w:t>ant leadership role in promoting and monitoring workplace practices that enhance compliance. They work under broad supervision of scientists/medical staff/engineers.</w:t>
      </w:r>
    </w:p>
    <w:p w:rsidR="00000000" w:rsidRPr="00BF533A" w:rsidP="00AE3B94">
      <w:pPr>
        <w:pStyle w:val="BodyText"/>
      </w:pPr>
      <w:r w:rsidRPr="00BF533A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BF533A">
        <w:t>and codes of practice within Australia must also be applied.</w:t>
      </w:r>
    </w:p>
    <w:p w:rsidR="00000000" w:rsidRPr="00BF533A" w:rsidP="00BF533A">
      <w:pPr>
        <w:pStyle w:val="Heading1"/>
      </w:pPr>
      <w:bookmarkStart w:id="3" w:name="O_985843"/>
      <w:bookmarkEnd w:id="3"/>
      <w:r w:rsidRPr="00BF533A">
        <w:t>Pre-requisite Unit</w:t>
      </w:r>
    </w:p>
    <w:p w:rsidR="00000000" w:rsidRPr="00BF533A" w:rsidP="00AE3B94">
      <w:pPr>
        <w:pStyle w:val="BodyText"/>
      </w:pPr>
      <w:r w:rsidRPr="00BF533A">
        <w:t>Nil</w:t>
      </w:r>
    </w:p>
    <w:p w:rsidR="00000000" w:rsidRPr="00BF533A" w:rsidP="00BF533A">
      <w:pPr>
        <w:pStyle w:val="Heading1"/>
      </w:pPr>
      <w:bookmarkStart w:id="4" w:name="O_985842"/>
      <w:bookmarkEnd w:id="4"/>
      <w:r w:rsidRPr="00BF533A">
        <w:t>Competency Field</w:t>
      </w:r>
    </w:p>
    <w:p w:rsidR="00000000" w:rsidRPr="00BF533A" w:rsidP="00AE3B94">
      <w:pPr>
        <w:pStyle w:val="BodyText"/>
      </w:pPr>
      <w:r w:rsidRPr="00BF533A">
        <w:t>Communication/organisation</w:t>
      </w:r>
    </w:p>
    <w:p w:rsidR="00000000" w:rsidRPr="00BF533A" w:rsidP="00BF533A">
      <w:pPr>
        <w:pStyle w:val="Heading1"/>
      </w:pPr>
      <w:bookmarkStart w:id="5" w:name="O_985841"/>
      <w:bookmarkEnd w:id="5"/>
      <w:r w:rsidRPr="00BF533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Performance criteria describe the performance needed to demonstrate achievement of the element.</w:t>
            </w: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33A" w:rsidP="00BF533A">
            <w:pPr>
              <w:pStyle w:val="BodyText"/>
            </w:pPr>
            <w:r w:rsidRPr="00BF533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rPr>
                <w:rStyle w:val="SpecialBold"/>
              </w:rPr>
              <w:t>Interpret and communicate current legislation, codes and standards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Maintain knowledge of current and new requirements impacting on work/functional area</w:t>
            </w: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Distribute clear information regarding the roles and responsibilities of teams and individuals to maintain the laboratory</w:t>
            </w:r>
            <w:r>
              <w:t>’</w:t>
            </w:r>
            <w:r w:rsidRPr="00BF533A">
              <w:t>s statutory or legal compliance</w:t>
            </w: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Explain the implications of non-conformance to all personnel within the work area</w:t>
            </w: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33A" w:rsidP="00BF533A">
            <w:pPr>
              <w:pStyle w:val="BodyText"/>
            </w:pPr>
            <w:r w:rsidRPr="00BF533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rPr>
                <w:rStyle w:val="SpecialBold"/>
              </w:rPr>
              <w:t>Ensure that work practices meet compliance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Plan work practices to ensure compliance with relevant legislation and licensing, registration, ethical or accreditation requirements</w:t>
            </w: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Ensure that calibration and testing procedures are im</w:t>
            </w:r>
            <w:r w:rsidRPr="00BF533A">
              <w:t>plemented so that equipment and methods are fit for purpose and reliable</w:t>
            </w: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Empower team members through coaching and mentoring to manage their responsibilities</w:t>
            </w: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33A" w:rsidP="00BF533A">
            <w:pPr>
              <w:pStyle w:val="BodyText"/>
            </w:pPr>
            <w:r w:rsidRPr="00BF533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rPr>
                <w:rStyle w:val="SpecialBold"/>
              </w:rPr>
              <w:t>Monitor, analyse, adjust and report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Confirm actual and potential problems are being identified, rectified and reported promptly to ensure workplace compliance</w:t>
            </w: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Analyse and supervise activities so that potential non-compliance is minimised</w:t>
            </w: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Recommend to designated personnel, strategies to improve compliance</w:t>
            </w: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Inform individuals/teams of new and improved procedures, as required</w:t>
            </w: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Maintain systems, records and reporting procedures according to legislative and licensing, registration, ethical or accreditation requirements and workplace procedures</w:t>
            </w: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33A" w:rsidP="00BF533A">
            <w:pPr>
              <w:pStyle w:val="BodyText"/>
            </w:pPr>
            <w:r w:rsidRPr="00BF533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rPr>
                <w:rStyle w:val="SpecialBold"/>
              </w:rPr>
              <w:t>Investigate, rectify and report non-conformance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Investigate and deal with no</w:t>
            </w:r>
            <w:r w:rsidRPr="00BF533A">
              <w:t>n-conformance according to legislative and licensing, registration or accreditation requirements and workplace procedures</w:t>
            </w: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Provide on/off-the-job training for personnel to acquire and apply competencies to meet legislative and licensing, registration or ethical accreditation requirements</w:t>
            </w: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33A" w:rsidP="00BF533A">
            <w:pPr>
              <w:pStyle w:val="BodyText"/>
            </w:pPr>
            <w:r w:rsidRPr="00BF533A">
              <w:t>Re-design or adjust workplace practices to ensure that non-conformance is not repea</w:t>
            </w:r>
            <w:r w:rsidRPr="00BF533A">
              <w:t>ted</w:t>
            </w:r>
          </w:p>
        </w:tc>
      </w:tr>
    </w:tbl>
    <w:p w:rsidR="00000000" w:rsidRPr="00BF533A" w:rsidP="00BF533A">
      <w:pPr>
        <w:pStyle w:val="BodyText"/>
      </w:pPr>
    </w:p>
    <w:p w:rsidR="00000000" w:rsidRPr="00BF533A" w:rsidP="00BF533A">
      <w:pPr>
        <w:pStyle w:val="AllowPageBreak"/>
      </w:pPr>
    </w:p>
    <w:p w:rsidR="00000000" w:rsidRPr="00BF533A" w:rsidP="00BF533A">
      <w:pPr>
        <w:pStyle w:val="Heading1"/>
      </w:pPr>
      <w:bookmarkStart w:id="6" w:name="O_985840"/>
      <w:bookmarkEnd w:id="6"/>
      <w:r w:rsidRPr="00BF533A">
        <w:t>Foundation Skills</w:t>
      </w:r>
    </w:p>
    <w:p w:rsidR="00000000" w:rsidRPr="00BF533A" w:rsidP="00AE3B94">
      <w:pPr>
        <w:pStyle w:val="BodyText"/>
      </w:pPr>
      <w:r w:rsidRPr="00BF533A">
        <w:t>This section describes those language, literacy, numeracy and employment skills that are essential to performance.</w:t>
      </w:r>
    </w:p>
    <w:p w:rsidR="00000000" w:rsidRPr="00BF533A" w:rsidP="00AE3B94">
      <w:pPr>
        <w:pStyle w:val="BodyText"/>
      </w:pPr>
      <w:r w:rsidRPr="00BF533A">
        <w:t>Foundation skills essential to performance are explicit in the performance criteria of this unit of competency.</w:t>
      </w:r>
    </w:p>
    <w:p w:rsidR="00000000" w:rsidRPr="00BF533A" w:rsidP="00BF533A">
      <w:pPr>
        <w:pStyle w:val="Heading1"/>
      </w:pPr>
      <w:bookmarkStart w:id="7" w:name="O_985839"/>
      <w:bookmarkEnd w:id="7"/>
      <w:r w:rsidRPr="00BF533A">
        <w:t>Unit Mapping Information</w:t>
      </w:r>
    </w:p>
    <w:p w:rsidR="00000000" w:rsidRPr="00BF533A" w:rsidP="00AE3B94">
      <w:pPr>
        <w:pStyle w:val="BodyText"/>
      </w:pPr>
      <w:r w:rsidRPr="00BF533A">
        <w:t xml:space="preserve">Equivalent to MSL916004 Maintain registration and statutory or legal compliance in work or functional </w:t>
      </w:r>
      <w:r w:rsidRPr="00BF533A">
        <w:t>area, Release 1.</w:t>
      </w:r>
    </w:p>
    <w:p w:rsidR="00000000" w:rsidRPr="00BF533A" w:rsidP="00BF533A">
      <w:pPr>
        <w:pStyle w:val="Heading1"/>
      </w:pPr>
      <w:bookmarkStart w:id="8" w:name="O_985832"/>
      <w:bookmarkEnd w:id="8"/>
      <w:r w:rsidRPr="00BF533A">
        <w:t>Links</w:t>
      </w:r>
    </w:p>
    <w:p w:rsidR="00000000" w:rsidRPr="00BF533A" w:rsidP="00AE3B94">
      <w:pPr>
        <w:pStyle w:val="BodyText"/>
      </w:pPr>
      <w:r w:rsidRPr="00BF533A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0237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F533A" w:rsidP="00AE3B94">
      <w:pPr>
        <w:pStyle w:val="BodyText"/>
        <w:sectPr w:rsidSect="00BF533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533A" w:rsidP="00BF533A">
      <w:pPr>
        <w:pStyle w:val="SuperHeading"/>
      </w:pPr>
      <w:r w:rsidRPr="00BF533A">
        <w:t>Assessment Requirements for MSL916009 Maintain registration and statutory or legal compliance in work or functional area</w:t>
      </w:r>
    </w:p>
    <w:p w:rsidR="00000000" w:rsidRPr="00BF533A" w:rsidP="00BF533A">
      <w:pPr>
        <w:pStyle w:val="Heading1"/>
      </w:pPr>
      <w:bookmarkStart w:id="9" w:name="O_985834"/>
      <w:bookmarkEnd w:id="9"/>
      <w:r w:rsidRPr="00BF53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533A" w:rsidP="00BF533A">
            <w:pPr>
              <w:pStyle w:val="BodyText"/>
            </w:pPr>
            <w:r w:rsidRPr="00BF533A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rPr>
                <w:rStyle w:val="SpecialBold"/>
              </w:rPr>
              <w:t>Comments</w:t>
            </w:r>
          </w:p>
        </w:tc>
      </w:tr>
      <w:tr w:rsidTr="00BF53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33A">
            <w:pPr>
              <w:pStyle w:val="BodyText"/>
              <w:rPr>
                <w:lang w:val="en-NZ"/>
              </w:rPr>
            </w:pPr>
            <w:r w:rsidRPr="00BF533A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33A" w:rsidP="00BF533A">
            <w:pPr>
              <w:pStyle w:val="BodyText"/>
            </w:pPr>
            <w:r w:rsidRPr="00BF533A">
              <w:t xml:space="preserve">This version was released in </w:t>
            </w:r>
            <w:r w:rsidRPr="00BF533A">
              <w:rPr>
                <w:rStyle w:val="Emphasis"/>
              </w:rPr>
              <w:t>MSL Laboratory Operations Training Package Release 2.0.</w:t>
            </w:r>
          </w:p>
          <w:p w:rsidR="00000000" w:rsidRPr="00BF533A" w:rsidP="00BF533A">
            <w:pPr>
              <w:pStyle w:val="BodyText"/>
            </w:pPr>
            <w:r w:rsidRPr="00BF533A">
              <w:t>Supersedes and equivalent to MSL916004 Maintain registration and statutory or legal compliance in work or functional area. Range of conditions removed. Assessment requirements amended.</w:t>
            </w:r>
          </w:p>
        </w:tc>
      </w:tr>
    </w:tbl>
    <w:p w:rsidR="00000000" w:rsidRPr="00BF533A" w:rsidP="00BF533A">
      <w:pPr>
        <w:pStyle w:val="BodyText"/>
      </w:pPr>
    </w:p>
    <w:p w:rsidR="00000000" w:rsidRPr="00BF533A" w:rsidP="00BF533A">
      <w:pPr>
        <w:pStyle w:val="AllowPageBreak"/>
      </w:pPr>
    </w:p>
    <w:p w:rsidR="00000000" w:rsidRPr="00BF533A" w:rsidP="00BF533A">
      <w:pPr>
        <w:pStyle w:val="Heading1"/>
      </w:pPr>
      <w:bookmarkStart w:id="10" w:name="O_985837"/>
      <w:bookmarkEnd w:id="10"/>
      <w:r w:rsidRPr="00BF533A">
        <w:t>Performance Evidence</w:t>
      </w:r>
    </w:p>
    <w:p w:rsidR="00000000" w:rsidRPr="00BF533A" w:rsidP="00AE3B94">
      <w:pPr>
        <w:pStyle w:val="BodyText"/>
      </w:pPr>
      <w:r w:rsidRPr="00BF533A">
        <w:t>There must be evidence the candidate has completed the tasks outlined in the elements and performance criteria of this unit, and:</w:t>
      </w:r>
    </w:p>
    <w:p w:rsidR="00000000" w:rsidRPr="00BF533A" w:rsidP="00BF533A">
      <w:pPr>
        <w:pStyle w:val="ListBullet"/>
      </w:pPr>
      <w:r w:rsidRPr="00BF533A">
        <w:t>effectively monitored day-to-day operations of the work/functional area over a period of 3 days/</w:t>
      </w:r>
      <w:r w:rsidRPr="00BF533A">
        <w:t>shifts, to ensure work complies with all workplace requirements, legal requirements and relevant policies and procedures.</w:t>
      </w:r>
    </w:p>
    <w:p w:rsidR="00000000" w:rsidRPr="00BF533A" w:rsidP="00BF533A">
      <w:pPr>
        <w:pStyle w:val="AllowPageBreak"/>
      </w:pPr>
    </w:p>
    <w:p w:rsidR="00000000" w:rsidRPr="00BF533A" w:rsidP="00BF533A">
      <w:pPr>
        <w:pStyle w:val="Heading1"/>
      </w:pPr>
      <w:bookmarkStart w:id="11" w:name="O_985836"/>
      <w:bookmarkEnd w:id="11"/>
      <w:r w:rsidRPr="00BF533A">
        <w:t>Knowledge Evidence</w:t>
      </w:r>
    </w:p>
    <w:p w:rsidR="00000000" w:rsidRPr="00BF533A" w:rsidP="00AE3B94">
      <w:pPr>
        <w:pStyle w:val="BodyText"/>
      </w:pPr>
      <w:r w:rsidRPr="00BF533A">
        <w:t>There must be evidence the candidate has knowledge of:</w:t>
      </w:r>
    </w:p>
    <w:p w:rsidR="00000000" w:rsidRPr="00BF533A" w:rsidP="00BF533A">
      <w:pPr>
        <w:pStyle w:val="ListBullet"/>
      </w:pPr>
      <w:r w:rsidRPr="00BF533A">
        <w:t>workplace procedures governing document co</w:t>
      </w:r>
      <w:r w:rsidRPr="00BF533A">
        <w:t>ntrol, record management, communication and reporting, and internal and external audits</w:t>
      </w:r>
    </w:p>
    <w:p w:rsidR="00000000" w:rsidRPr="00BF533A" w:rsidP="00BF533A">
      <w:pPr>
        <w:pStyle w:val="ListBullet"/>
      </w:pPr>
      <w:r w:rsidRPr="00BF533A">
        <w:t>scientific technical terminology used to describe legislative, licensing or registration requirements (e.g. traceability)</w:t>
      </w:r>
    </w:p>
    <w:p w:rsidR="00000000" w:rsidRPr="00BF533A" w:rsidP="00BF533A">
      <w:pPr>
        <w:pStyle w:val="ListBullet"/>
      </w:pPr>
      <w:r w:rsidRPr="00BF533A">
        <w:t>legal, ethical and welfare issues associated w</w:t>
      </w:r>
      <w:r w:rsidRPr="00BF533A">
        <w:t>ith laboratory and technical work</w:t>
      </w:r>
    </w:p>
    <w:p w:rsidR="00000000" w:rsidRPr="00BF533A" w:rsidP="00BF533A">
      <w:pPr>
        <w:pStyle w:val="ListBullet"/>
      </w:pPr>
      <w:r w:rsidRPr="00BF533A">
        <w:t>role, structure and responsibilities of ethics committees</w:t>
      </w:r>
    </w:p>
    <w:p w:rsidR="00000000" w:rsidRPr="00BF533A" w:rsidP="00BF533A">
      <w:pPr>
        <w:pStyle w:val="ListBullet"/>
      </w:pPr>
      <w:r w:rsidRPr="00BF533A">
        <w:t>statutory and legal compliance requirements</w:t>
      </w:r>
    </w:p>
    <w:p w:rsidR="00000000" w:rsidRPr="00BF533A" w:rsidP="00BF533A">
      <w:pPr>
        <w:pStyle w:val="ListBullet"/>
      </w:pPr>
      <w:r w:rsidRPr="00BF533A">
        <w:t>registration/licensing and/or National Association of Testing Authorities (NATA) accreditation requirements</w:t>
      </w:r>
    </w:p>
    <w:p w:rsidR="00000000" w:rsidRPr="00BF533A" w:rsidP="00BF533A">
      <w:pPr>
        <w:pStyle w:val="ListBullet"/>
      </w:pPr>
      <w:r w:rsidRPr="00BF533A">
        <w:t>Australian and international standards and codes covering the competence of testing and calibration laboratories</w:t>
      </w:r>
    </w:p>
    <w:p w:rsidR="00000000" w:rsidRPr="00BF533A" w:rsidP="00BF533A">
      <w:pPr>
        <w:pStyle w:val="ListBullet"/>
      </w:pPr>
      <w:r w:rsidRPr="00BF533A">
        <w:t>industry specific codes and guidelines</w:t>
      </w:r>
    </w:p>
    <w:p w:rsidR="00000000" w:rsidRPr="00BF533A" w:rsidP="00BF533A">
      <w:pPr>
        <w:pStyle w:val="ListBullet"/>
      </w:pPr>
      <w:r w:rsidRPr="00BF533A">
        <w:t>state/territory and Commonwealth requirements for:</w:t>
      </w:r>
    </w:p>
    <w:p w:rsidR="00000000" w:rsidRPr="00BF533A" w:rsidP="00BF533A">
      <w:pPr>
        <w:pStyle w:val="ListBullet2"/>
      </w:pPr>
      <w:r w:rsidRPr="00BF533A">
        <w:t xml:space="preserve">work health and safety (WHS): </w:t>
      </w:r>
    </w:p>
    <w:p w:rsidR="00000000" w:rsidRPr="00BF533A" w:rsidP="00BF533A">
      <w:pPr>
        <w:pStyle w:val="ListBullet3"/>
      </w:pPr>
      <w:r w:rsidRPr="00BF533A">
        <w:t>managing hazards and</w:t>
      </w:r>
      <w:r w:rsidRPr="00BF533A">
        <w:t xml:space="preserve"> risks</w:t>
      </w:r>
    </w:p>
    <w:p w:rsidR="00000000" w:rsidRPr="00BF533A" w:rsidP="00BF533A">
      <w:pPr>
        <w:pStyle w:val="ListBullet3"/>
      </w:pPr>
      <w:r w:rsidRPr="00BF533A">
        <w:t>safety requirements for the use of equipment, materials and products</w:t>
      </w:r>
    </w:p>
    <w:p w:rsidR="00000000" w:rsidRPr="00BF533A" w:rsidP="00BF533A">
      <w:pPr>
        <w:pStyle w:val="ListBullet2"/>
      </w:pPr>
      <w:r w:rsidRPr="00BF533A">
        <w:t>intellectual property (IP) and copyright</w:t>
      </w:r>
    </w:p>
    <w:p w:rsidR="00000000" w:rsidRPr="00BF533A" w:rsidP="00BF533A">
      <w:pPr>
        <w:pStyle w:val="ListBullet2"/>
      </w:pPr>
      <w:r w:rsidRPr="00BF533A">
        <w:t>freedom of information</w:t>
      </w:r>
    </w:p>
    <w:p w:rsidR="00000000" w:rsidRPr="00BF533A" w:rsidP="00BF533A">
      <w:pPr>
        <w:pStyle w:val="ListBullet2"/>
      </w:pPr>
      <w:r w:rsidRPr="00BF533A">
        <w:t>human rights and equal opportunity</w:t>
      </w:r>
    </w:p>
    <w:p w:rsidR="00000000" w:rsidRPr="00BF533A" w:rsidP="00BF533A">
      <w:pPr>
        <w:pStyle w:val="ListBullet2"/>
      </w:pPr>
      <w:r w:rsidRPr="00BF533A">
        <w:t>privacy</w:t>
      </w:r>
    </w:p>
    <w:p w:rsidR="00000000" w:rsidRPr="00BF533A" w:rsidP="00BF533A">
      <w:pPr>
        <w:pStyle w:val="ListBullet2"/>
      </w:pPr>
      <w:r w:rsidRPr="00BF533A">
        <w:t>environmental protection.</w:t>
      </w:r>
    </w:p>
    <w:p w:rsidR="00000000" w:rsidRPr="00BF533A" w:rsidP="00BF533A">
      <w:pPr>
        <w:pStyle w:val="AllowPageBreak"/>
      </w:pPr>
    </w:p>
    <w:p w:rsidR="00000000" w:rsidRPr="00BF533A" w:rsidP="00BF533A">
      <w:pPr>
        <w:pStyle w:val="Heading1"/>
      </w:pPr>
      <w:bookmarkStart w:id="12" w:name="O_985835"/>
      <w:bookmarkEnd w:id="12"/>
      <w:r w:rsidRPr="00BF533A">
        <w:t>Assessment Conditions</w:t>
      </w:r>
    </w:p>
    <w:p w:rsidR="00000000" w:rsidRPr="00BF533A" w:rsidP="00AE3B94">
      <w:pPr>
        <w:pStyle w:val="BodyText"/>
      </w:pPr>
      <w:r w:rsidRPr="00BF533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F533A" w:rsidP="00BF533A">
      <w:pPr>
        <w:pStyle w:val="ListBullet"/>
      </w:pPr>
      <w:r w:rsidRPr="00BF533A">
        <w:t xml:space="preserve">use of suitable facilities, equipment and resources, including: </w:t>
      </w:r>
    </w:p>
    <w:p w:rsidR="00000000" w:rsidRPr="00BF533A" w:rsidP="00BF533A">
      <w:pPr>
        <w:pStyle w:val="ListBullet2"/>
      </w:pPr>
      <w:r w:rsidRPr="00BF533A">
        <w:t>laboratory equipped with appropriate equipment, instruments, services and consumables</w:t>
      </w:r>
    </w:p>
    <w:p w:rsidR="00000000" w:rsidRPr="00BF533A" w:rsidP="00BF533A">
      <w:pPr>
        <w:pStyle w:val="ListBullet2"/>
      </w:pPr>
      <w:r w:rsidRPr="00BF533A">
        <w:t>relevant workplace policies, procedures, operational reports, financial reports and stock records</w:t>
      </w:r>
    </w:p>
    <w:p w:rsidR="00000000" w:rsidRPr="00BF533A" w:rsidP="00BF533A">
      <w:pPr>
        <w:pStyle w:val="ListBullet2"/>
      </w:pPr>
      <w:r w:rsidRPr="00BF533A">
        <w:t>technical manuals, standard operating procedures (SOPs), quality manuals</w:t>
      </w:r>
      <w:r w:rsidRPr="00BF533A">
        <w:t xml:space="preserve"> and quality system documentation</w:t>
      </w:r>
    </w:p>
    <w:p w:rsidR="00000000" w:rsidRPr="00BF533A" w:rsidP="00BF533A">
      <w:pPr>
        <w:pStyle w:val="ListBullet"/>
      </w:pPr>
      <w:r w:rsidRPr="00BF533A">
        <w:t xml:space="preserve">modelling of industry operating conditions, including: </w:t>
      </w:r>
    </w:p>
    <w:p w:rsidR="00000000" w:rsidRPr="00BF533A" w:rsidP="00BF533A">
      <w:pPr>
        <w:pStyle w:val="ListBullet2"/>
      </w:pPr>
      <w:r w:rsidRPr="00BF533A">
        <w:t>interactions with laboratory operations staff.</w:t>
      </w:r>
    </w:p>
    <w:p w:rsidR="00000000" w:rsidRPr="00BF533A" w:rsidP="00BF533A">
      <w:pPr>
        <w:pStyle w:val="BodyText"/>
      </w:pPr>
    </w:p>
    <w:p w:rsidR="00000000" w:rsidRPr="00BF533A" w:rsidP="00AE3B94">
      <w:pPr>
        <w:pStyle w:val="BodyText"/>
      </w:pPr>
      <w:r w:rsidRPr="00BF533A">
        <w:t>Assessors must satisfy the NVR/AQTF mandatory competency requirements for assessors.</w:t>
      </w:r>
    </w:p>
    <w:p w:rsidR="00000000" w:rsidRPr="00BF533A" w:rsidP="00BF533A">
      <w:pPr>
        <w:pStyle w:val="Heading1"/>
      </w:pPr>
      <w:bookmarkStart w:id="13" w:name="O_985833"/>
      <w:bookmarkEnd w:id="13"/>
      <w:r w:rsidRPr="00BF533A">
        <w:t>Links</w:t>
      </w:r>
    </w:p>
    <w:p w:rsidR="00000000" w:rsidRPr="00BF533A" w:rsidP="00AE3B94">
      <w:pPr>
        <w:pStyle w:val="BodyText"/>
      </w:pPr>
      <w:r w:rsidRPr="00BF533A">
        <w:t>MSL Labo</w:t>
      </w:r>
      <w:r w:rsidRPr="00BF533A">
        <w:t xml:space="preserve">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02370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F533A" w:rsidP="00BF533A"/>
    <w:sectPr w:rsidSect="00BF533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3A" w:rsidRPr="00AE3B94" w:rsidP="00AE3B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B94" w:rsidP="00BF5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3B94" w:rsidP="00BF5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E3B94" w:rsidP="00BF533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3A" w:rsidP="00BF53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3B94">
      <w:t>Approved</w:t>
    </w:r>
    <w:r w:rsidR="00AE3B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3B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3B94">
      <w:rPr>
        <w:noProof/>
      </w:rPr>
      <w:t>4</w:t>
    </w:r>
    <w:r>
      <w:rPr>
        <w:noProof/>
      </w:rPr>
      <w:fldChar w:fldCharType="end"/>
    </w:r>
  </w:p>
  <w:p w:rsidR="00BF533A" w:rsidP="00BF53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3B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3B94">
      <w:t>Manufacturing Industry Skills Alliance</w:t>
    </w:r>
    <w:r w:rsidR="00AE3B94">
      <w:fldChar w:fldCharType="end"/>
    </w:r>
  </w:p>
  <w:p w:rsidR="00BF533A" w:rsidP="00BF53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B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33A" w:rsidRPr="00AE3B94" w:rsidP="00AE3B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B94" w:rsidRPr="002D2AF8" w:rsidP="00BF5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MSL916009 Maintain registration and statutory or legal compliance in work or functional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E3B94" w:rsidP="00BF533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33A" w:rsidRPr="002D2AF8" w:rsidP="00BF53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3B94">
      <w:t>MSL916009 Maintain registration and statutory or legal compliance in work or functional area</w:t>
    </w:r>
    <w:r w:rsidR="00AE3B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3B94">
      <w:rPr>
        <w:noProof/>
      </w:rPr>
      <w:t>1 March 2025</w:t>
    </w:r>
    <w:r>
      <w:fldChar w:fldCharType="end"/>
    </w:r>
  </w:p>
  <w:p w:rsidR="00BF533A" w:rsidP="00BF53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AAD1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480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3CBB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3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3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3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3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3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3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3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3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3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3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33A"/>
  </w:style>
  <w:style w:type="character" w:customStyle="1" w:styleId="Heading1Char">
    <w:name w:val="Heading 1 Char"/>
    <w:basedOn w:val="DefaultParagraphFont"/>
    <w:link w:val="Heading1"/>
    <w:rsid w:val="00BF53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3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3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533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33A"/>
    <w:rPr>
      <w:b/>
      <w:spacing w:val="0"/>
    </w:rPr>
  </w:style>
  <w:style w:type="paragraph" w:styleId="ListBullet2">
    <w:name w:val="List Bullet 2"/>
    <w:basedOn w:val="List2"/>
    <w:rsid w:val="00BF533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533A"/>
    <w:rPr>
      <w:i/>
    </w:rPr>
  </w:style>
  <w:style w:type="paragraph" w:customStyle="1" w:styleId="SuperHeading">
    <w:name w:val="SuperHeading"/>
    <w:basedOn w:val="Normal"/>
    <w:rsid w:val="00BF53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3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F533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F53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3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3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3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3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3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3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3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3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3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3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3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3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3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3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3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3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3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3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3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3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3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3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3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3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3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3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3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3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3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53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3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3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33A"/>
  </w:style>
  <w:style w:type="paragraph" w:styleId="TableofFigures">
    <w:name w:val="table of figures"/>
    <w:basedOn w:val="Normal"/>
    <w:next w:val="Normal"/>
    <w:semiHidden/>
    <w:rsid w:val="00BF53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33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F533A"/>
    <w:rPr>
      <w:rFonts w:ascii="Wingdings" w:hAnsi="Wingdings"/>
    </w:rPr>
  </w:style>
  <w:style w:type="paragraph" w:customStyle="1" w:styleId="TableHeading">
    <w:name w:val="Table Heading"/>
    <w:basedOn w:val="HeadingBase"/>
    <w:rsid w:val="00BF53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33A"/>
    <w:rPr>
      <w:color w:val="0033CC"/>
      <w:u w:val="none"/>
    </w:rPr>
  </w:style>
  <w:style w:type="paragraph" w:customStyle="1" w:styleId="BodyTextRight">
    <w:name w:val="Body Text Right"/>
    <w:basedOn w:val="BodyText"/>
    <w:rsid w:val="00BF53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3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33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3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3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3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33A"/>
    <w:rPr>
      <w:sz w:val="32"/>
    </w:rPr>
  </w:style>
  <w:style w:type="paragraph" w:customStyle="1" w:styleId="HeadingProcedure">
    <w:name w:val="Heading Procedure"/>
    <w:basedOn w:val="HeadingBase"/>
    <w:next w:val="Normal"/>
    <w:rsid w:val="00BF53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33A"/>
    <w:pPr>
      <w:spacing w:before="60" w:after="60"/>
    </w:pPr>
  </w:style>
  <w:style w:type="paragraph" w:styleId="ListContinue">
    <w:name w:val="List Continue"/>
    <w:basedOn w:val="List"/>
    <w:rsid w:val="00BF533A"/>
    <w:pPr>
      <w:ind w:firstLine="0"/>
    </w:pPr>
  </w:style>
  <w:style w:type="paragraph" w:customStyle="1" w:styleId="ListNote">
    <w:name w:val="List Note"/>
    <w:basedOn w:val="List"/>
    <w:rsid w:val="00BF53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3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3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33A"/>
    <w:rPr>
      <w:rFonts w:ascii="Courier New" w:hAnsi="Courier New"/>
    </w:rPr>
  </w:style>
  <w:style w:type="paragraph" w:customStyle="1" w:styleId="NoteBullet">
    <w:name w:val="Note Bullet"/>
    <w:basedOn w:val="Note"/>
    <w:rsid w:val="00BF53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3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3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3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33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F53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3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33A"/>
    <w:rPr>
      <w:b/>
      <w:smallCaps/>
    </w:rPr>
  </w:style>
  <w:style w:type="paragraph" w:customStyle="1" w:styleId="TableListNumber">
    <w:name w:val="Table List Number"/>
    <w:basedOn w:val="ListNumber"/>
    <w:rsid w:val="00BF53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3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33A"/>
    <w:pPr>
      <w:numPr>
        <w:numId w:val="10"/>
      </w:numPr>
    </w:pPr>
  </w:style>
  <w:style w:type="paragraph" w:customStyle="1" w:styleId="ListAlpha2">
    <w:name w:val="List Alpha 2"/>
    <w:basedOn w:val="List2"/>
    <w:rsid w:val="00BF533A"/>
    <w:pPr>
      <w:numPr>
        <w:numId w:val="9"/>
      </w:numPr>
    </w:pPr>
  </w:style>
  <w:style w:type="paragraph" w:styleId="List2">
    <w:name w:val="List 2"/>
    <w:basedOn w:val="BodyText"/>
    <w:rsid w:val="00BF53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3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3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33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F533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F533A"/>
    <w:pPr>
      <w:numPr>
        <w:numId w:val="5"/>
      </w:numPr>
    </w:pPr>
  </w:style>
  <w:style w:type="paragraph" w:styleId="ListContinue2">
    <w:name w:val="List Continue 2"/>
    <w:basedOn w:val="List2"/>
    <w:rsid w:val="00BF533A"/>
    <w:pPr>
      <w:ind w:firstLine="0"/>
    </w:pPr>
  </w:style>
  <w:style w:type="paragraph" w:styleId="ListContinue3">
    <w:name w:val="List Continue 3"/>
    <w:basedOn w:val="List3"/>
    <w:rsid w:val="00BF533A"/>
    <w:pPr>
      <w:ind w:left="1021" w:firstLine="0"/>
    </w:pPr>
  </w:style>
  <w:style w:type="paragraph" w:styleId="ListContinue4">
    <w:name w:val="List Continue 4"/>
    <w:basedOn w:val="List4"/>
    <w:rsid w:val="00BF533A"/>
    <w:pPr>
      <w:ind w:firstLine="0"/>
    </w:pPr>
  </w:style>
  <w:style w:type="paragraph" w:styleId="ListContinue5">
    <w:name w:val="List Continue 5"/>
    <w:basedOn w:val="List5"/>
    <w:rsid w:val="00BF533A"/>
    <w:pPr>
      <w:ind w:firstLine="0"/>
    </w:pPr>
  </w:style>
  <w:style w:type="paragraph" w:styleId="ListNumber3">
    <w:name w:val="List Number 3"/>
    <w:basedOn w:val="List3"/>
    <w:rsid w:val="00BF533A"/>
    <w:pPr>
      <w:numPr>
        <w:numId w:val="6"/>
      </w:numPr>
    </w:pPr>
  </w:style>
  <w:style w:type="paragraph" w:styleId="ListNumber4">
    <w:name w:val="List Number 4"/>
    <w:basedOn w:val="List4"/>
    <w:rsid w:val="00BF533A"/>
    <w:pPr>
      <w:numPr>
        <w:numId w:val="7"/>
      </w:numPr>
    </w:pPr>
  </w:style>
  <w:style w:type="paragraph" w:styleId="ListNumber5">
    <w:name w:val="List Number 5"/>
    <w:basedOn w:val="List5"/>
    <w:rsid w:val="00BF533A"/>
    <w:pPr>
      <w:numPr>
        <w:numId w:val="8"/>
      </w:numPr>
    </w:pPr>
  </w:style>
  <w:style w:type="paragraph" w:styleId="BlockText">
    <w:name w:val="Block Text"/>
    <w:basedOn w:val="Normal"/>
    <w:rsid w:val="00BF53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3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33A"/>
    <w:rPr>
      <w:sz w:val="16"/>
      <w:vertAlign w:val="superscript"/>
    </w:rPr>
  </w:style>
  <w:style w:type="character" w:customStyle="1" w:styleId="Symbols">
    <w:name w:val="Symbols"/>
    <w:basedOn w:val="DefaultParagraphFont"/>
    <w:rsid w:val="00BF533A"/>
    <w:rPr>
      <w:rFonts w:ascii="Symbol" w:hAnsi="Symbol"/>
    </w:rPr>
  </w:style>
  <w:style w:type="character" w:customStyle="1" w:styleId="MenuOptions">
    <w:name w:val="Menu Options"/>
    <w:basedOn w:val="DefaultParagraphFont"/>
    <w:rsid w:val="00BF53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33A"/>
    <w:rPr>
      <w:b/>
    </w:rPr>
  </w:style>
  <w:style w:type="character" w:customStyle="1" w:styleId="Underlined">
    <w:name w:val="Underlined"/>
    <w:basedOn w:val="DefaultParagraphFont"/>
    <w:rsid w:val="00BF533A"/>
    <w:rPr>
      <w:u w:val="single"/>
    </w:rPr>
  </w:style>
  <w:style w:type="paragraph" w:customStyle="1" w:styleId="TableBodyTextRight">
    <w:name w:val="Table Body Text Right"/>
    <w:basedOn w:val="TableBodyText"/>
    <w:rsid w:val="00BF53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33A"/>
    <w:rPr>
      <w:sz w:val="18"/>
    </w:rPr>
  </w:style>
  <w:style w:type="paragraph" w:customStyle="1" w:styleId="BodySmallRight">
    <w:name w:val="Body Small Right"/>
    <w:basedOn w:val="BodyTextRight"/>
    <w:rsid w:val="00BF533A"/>
    <w:rPr>
      <w:sz w:val="18"/>
      <w:szCs w:val="18"/>
    </w:rPr>
  </w:style>
  <w:style w:type="paragraph" w:customStyle="1" w:styleId="MarginEdition">
    <w:name w:val="Margin Edition"/>
    <w:basedOn w:val="MarginNote"/>
    <w:rsid w:val="00BF53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33A"/>
    <w:rPr>
      <w:sz w:val="2"/>
      <w:szCs w:val="2"/>
    </w:rPr>
  </w:style>
  <w:style w:type="character" w:customStyle="1" w:styleId="Small">
    <w:name w:val="Small"/>
    <w:basedOn w:val="DefaultParagraphFont"/>
    <w:rsid w:val="00BF533A"/>
    <w:rPr>
      <w:sz w:val="16"/>
    </w:rPr>
  </w:style>
  <w:style w:type="paragraph" w:customStyle="1" w:styleId="WideTable">
    <w:name w:val="Wide Table"/>
    <w:basedOn w:val="Normal"/>
    <w:rsid w:val="00BF53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33A"/>
  </w:style>
  <w:style w:type="paragraph" w:styleId="Quote">
    <w:name w:val="Quote"/>
    <w:basedOn w:val="Heading1"/>
    <w:link w:val="QuoteChar"/>
    <w:qFormat/>
    <w:rsid w:val="00BF53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3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33A"/>
    <w:pPr>
      <w:pageBreakBefore/>
    </w:pPr>
  </w:style>
  <w:style w:type="paragraph" w:customStyle="1" w:styleId="Border">
    <w:name w:val="Border"/>
    <w:basedOn w:val="Normal"/>
    <w:qFormat/>
    <w:rsid w:val="00BF53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3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3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3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3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3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3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3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3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33A"/>
    <w:rPr>
      <w:u w:val="single"/>
    </w:rPr>
  </w:style>
  <w:style w:type="character" w:customStyle="1" w:styleId="BoldandItalics">
    <w:name w:val="Bold and Italics"/>
    <w:qFormat/>
    <w:rsid w:val="00BF533A"/>
    <w:rPr>
      <w:b/>
      <w:i/>
      <w:u w:val="none"/>
    </w:rPr>
  </w:style>
  <w:style w:type="paragraph" w:styleId="BalloonText">
    <w:name w:val="Balloon Text"/>
    <w:basedOn w:val="Normal"/>
    <w:link w:val="BalloonTextChar"/>
    <w:rsid w:val="00BF5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3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3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3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3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3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33A"/>
    <w:pPr>
      <w:spacing w:before="0" w:after="0"/>
    </w:pPr>
  </w:style>
  <w:style w:type="paragraph" w:customStyle="1" w:styleId="BodyTextBold">
    <w:name w:val="Body Text Bold"/>
    <w:basedOn w:val="BodyText"/>
    <w:qFormat/>
    <w:rsid w:val="00BF533A"/>
    <w:rPr>
      <w:b/>
    </w:rPr>
  </w:style>
  <w:style w:type="character" w:styleId="Hyperlink">
    <w:name w:val="Hyperlink"/>
    <w:basedOn w:val="DefaultParagraphFont"/>
    <w:uiPriority w:val="99"/>
    <w:unhideWhenUsed/>
    <w:rsid w:val="00AE3B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6450</Characters>
  <Application>Microsoft Office Word</Application>
  <DocSecurity>0</DocSecurity>
  <Lines>238</Lines>
  <Paragraphs>120</Paragraphs>
  <ScaleCrop>false</ScaleCrop>
  <Company>Author-it Software Corporation Ltd.</Company>
  <LinksUpToDate>false</LinksUpToDate>
  <CharactersWithSpaces>7260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MSL916009 Maintain registration and statutory or legal compliance in work or functional area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2025-03-01T09:29:00Z</dcterms:created>
  <dcterms:modified xsi:type="dcterms:W3CDTF">2025-03-01T09:29:00Z</dcterms:modified>
</cp:coreProperties>
</file>