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C25" w:rsidP="00F90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MSL916004 Maintain registration and statutory or legal compliance in work or functional area</w:t>
      </w:r>
      <w:r>
        <w:fldChar w:fldCharType="end"/>
      </w:r>
    </w:p>
    <w:p w:rsidR="00F90C25" w:rsidP="00F90C25">
      <w:pPr>
        <w:pStyle w:val="Version"/>
        <w:sectPr w:rsidSect="00706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181" w:rsidP="00706181">
      <w:pPr>
        <w:pStyle w:val="SuperHeading"/>
      </w:pPr>
      <w:r w:rsidRPr="00706181">
        <w:t>Assessment Requirements for MSL916004 Maintain registration and statutory or legal compliance in work or functional area</w:t>
      </w:r>
    </w:p>
    <w:p w:rsidR="00000000" w:rsidRPr="00706181" w:rsidP="00706181">
      <w:pPr>
        <w:pStyle w:val="Heading1"/>
      </w:pPr>
      <w:bookmarkStart w:id="1" w:name="O_902575"/>
      <w:bookmarkEnd w:id="1"/>
      <w:r w:rsidRPr="00706181">
        <w:t>Modification History</w:t>
      </w:r>
    </w:p>
    <w:p w:rsidR="00000000" w:rsidRPr="00706181" w:rsidP="00706181">
      <w:pPr>
        <w:pStyle w:val="BodyText"/>
      </w:pPr>
      <w:r w:rsidRPr="00706181">
        <w:t>Release 1. Supersedes and is equivalent to MSL916004A Maintain registration and statutory or legal compliance in work/functional area</w:t>
      </w:r>
    </w:p>
    <w:p w:rsidR="00000000" w:rsidRPr="00706181" w:rsidP="00706181">
      <w:pPr>
        <w:pStyle w:val="AllowPageBreak"/>
      </w:pPr>
    </w:p>
    <w:p w:rsidR="00000000" w:rsidRPr="00706181" w:rsidP="00706181">
      <w:pPr>
        <w:pStyle w:val="Heading1"/>
      </w:pPr>
      <w:bookmarkStart w:id="2" w:name="O_902578"/>
      <w:bookmarkEnd w:id="2"/>
      <w:r w:rsidRPr="00706181">
        <w:t>Performance Evidence</w:t>
      </w:r>
    </w:p>
    <w:p w:rsidR="00000000" w:rsidRPr="00706181" w:rsidP="00706181">
      <w:pPr>
        <w:pStyle w:val="BodyText"/>
      </w:pPr>
      <w:r w:rsidRPr="00706181">
        <w:t>Evidence of competence in this unit must satisfy all of the requirements of the elem</w:t>
      </w:r>
      <w:r w:rsidRPr="00706181">
        <w:t>ents and performance criteria, and include demonstration of:</w:t>
      </w:r>
    </w:p>
    <w:p w:rsidR="00000000" w:rsidRPr="00706181" w:rsidP="00706181">
      <w:pPr>
        <w:pStyle w:val="ListBullet"/>
      </w:pPr>
      <w:r w:rsidRPr="00706181">
        <w:t>monitoring day-to-day operations of the work/functional area</w:t>
      </w:r>
    </w:p>
    <w:p w:rsidR="00000000" w:rsidRPr="00706181" w:rsidP="00706181">
      <w:pPr>
        <w:pStyle w:val="ListBullet"/>
      </w:pPr>
      <w:r w:rsidRPr="00706181">
        <w:t xml:space="preserve">analysing results and long-term trends in data </w:t>
      </w:r>
    </w:p>
    <w:p w:rsidR="00000000" w:rsidRPr="00706181" w:rsidP="00706181">
      <w:pPr>
        <w:pStyle w:val="ListBullet"/>
      </w:pPr>
      <w:r w:rsidRPr="00706181">
        <w:t>monitoring, analysing and changing work practices to ensure compliance with workplace</w:t>
      </w:r>
      <w:r w:rsidRPr="00706181">
        <w:t xml:space="preserve"> requirements, legal requirements and relevant policies and procedures</w:t>
      </w:r>
    </w:p>
    <w:p w:rsidR="00000000" w:rsidRPr="00706181" w:rsidP="00706181">
      <w:pPr>
        <w:pStyle w:val="ListBullet"/>
      </w:pPr>
      <w:r w:rsidRPr="00706181">
        <w:t>making improvements to rectify potential problems or instances of non-conformance</w:t>
      </w:r>
    </w:p>
    <w:p w:rsidR="00000000" w:rsidRPr="00706181" w:rsidP="00706181">
      <w:pPr>
        <w:pStyle w:val="ListBullet"/>
      </w:pPr>
      <w:r w:rsidRPr="00706181">
        <w:t xml:space="preserve">providing information and training about roles, responsibilities and workplace procedures dealing with </w:t>
      </w:r>
      <w:r w:rsidRPr="00706181">
        <w:t>legal/statutory requirements</w:t>
      </w:r>
    </w:p>
    <w:p w:rsidR="00000000" w:rsidRPr="00706181" w:rsidP="00706181">
      <w:pPr>
        <w:pStyle w:val="ListBullet"/>
      </w:pPr>
      <w:r w:rsidRPr="00706181">
        <w:t>providing coaching and mentoring support to personnel to change work practices</w:t>
      </w:r>
    </w:p>
    <w:p w:rsidR="00000000" w:rsidRPr="00706181" w:rsidP="00706181">
      <w:pPr>
        <w:pStyle w:val="ListBullet"/>
      </w:pPr>
      <w:r w:rsidRPr="00706181">
        <w:t>communicating effectively with others who may have diverse work styles, cultures and perspectives</w:t>
      </w:r>
    </w:p>
    <w:p w:rsidR="00000000" w:rsidRPr="00706181" w:rsidP="00706181">
      <w:pPr>
        <w:pStyle w:val="ListBullet"/>
      </w:pPr>
      <w:r w:rsidRPr="00706181">
        <w:t>keeping records complete, current and secure.</w:t>
      </w:r>
    </w:p>
    <w:p w:rsidR="00000000" w:rsidRPr="00706181" w:rsidP="00706181">
      <w:pPr>
        <w:pStyle w:val="AllowPageBreak"/>
      </w:pPr>
    </w:p>
    <w:p w:rsidR="00000000" w:rsidRPr="00706181" w:rsidP="00706181">
      <w:pPr>
        <w:pStyle w:val="Heading1"/>
      </w:pPr>
      <w:bookmarkStart w:id="3" w:name="O_902577"/>
      <w:bookmarkEnd w:id="3"/>
      <w:r w:rsidRPr="00706181">
        <w:t>Knowledge Evidence</w:t>
      </w:r>
    </w:p>
    <w:p w:rsidR="00000000" w:rsidRPr="00706181" w:rsidP="00706181">
      <w:pPr>
        <w:pStyle w:val="BodyText"/>
      </w:pPr>
      <w:r w:rsidRPr="00706181">
        <w:t>Must provide evidence that demonstrates knowledge of:</w:t>
      </w:r>
    </w:p>
    <w:p w:rsidR="00000000" w:rsidRPr="00706181" w:rsidP="00706181">
      <w:pPr>
        <w:pStyle w:val="ListBullet"/>
      </w:pPr>
      <w:r w:rsidRPr="00706181">
        <w:t>workplace procedures governing document control, record management, communication and reporting, and internal and external audits</w:t>
      </w:r>
    </w:p>
    <w:p w:rsidR="00000000" w:rsidRPr="00706181" w:rsidP="00706181">
      <w:pPr>
        <w:pStyle w:val="ListBullet"/>
      </w:pPr>
      <w:r w:rsidRPr="00706181">
        <w:t>scientific technical terminology used t</w:t>
      </w:r>
      <w:r w:rsidRPr="00706181">
        <w:t>o describe legislative, licensing or registration requirements (e.g. traceability)</w:t>
      </w:r>
    </w:p>
    <w:p w:rsidR="00000000" w:rsidRPr="00706181" w:rsidP="00706181">
      <w:pPr>
        <w:pStyle w:val="ListBullet"/>
      </w:pPr>
      <w:r w:rsidRPr="00706181">
        <w:t>legal, ethical and welfare issues associated with laboratory and technical work</w:t>
      </w:r>
    </w:p>
    <w:p w:rsidR="00000000" w:rsidRPr="00706181" w:rsidP="00706181">
      <w:pPr>
        <w:pStyle w:val="ListBullet"/>
      </w:pPr>
      <w:r w:rsidRPr="00706181">
        <w:t>role, structure and responsibilities of ethics committees</w:t>
      </w:r>
    </w:p>
    <w:p w:rsidR="00000000" w:rsidRPr="00706181" w:rsidP="00706181">
      <w:pPr>
        <w:pStyle w:val="ListBullet"/>
      </w:pPr>
      <w:r w:rsidRPr="00706181">
        <w:t>statutory and legal compliance requirements</w:t>
      </w:r>
    </w:p>
    <w:p w:rsidR="00000000" w:rsidRPr="00706181" w:rsidP="00706181">
      <w:pPr>
        <w:pStyle w:val="ListBullet"/>
      </w:pPr>
      <w:r w:rsidRPr="00706181">
        <w:t>relevant work health and safety (WHS) and environment requirements.</w:t>
      </w:r>
    </w:p>
    <w:p w:rsidR="00000000" w:rsidRPr="00706181" w:rsidP="00706181">
      <w:pPr>
        <w:pStyle w:val="AllowPageBreak"/>
      </w:pPr>
    </w:p>
    <w:p w:rsidR="00000000" w:rsidRPr="00706181" w:rsidP="00706181">
      <w:pPr>
        <w:pStyle w:val="Heading1"/>
      </w:pPr>
      <w:bookmarkStart w:id="4" w:name="O_902576"/>
      <w:bookmarkEnd w:id="4"/>
      <w:r w:rsidRPr="00706181">
        <w:t>Assessment Conditions</w:t>
      </w:r>
    </w:p>
    <w:p w:rsidR="00000000" w:rsidRPr="00706181" w:rsidP="00706181">
      <w:pPr>
        <w:pStyle w:val="ListBullet"/>
      </w:pPr>
      <w:r w:rsidRPr="00706181">
        <w:t>Judgement of competence must be based on holistic assessment of the evidence. Assessment methods must co</w:t>
      </w:r>
      <w:r w:rsidRPr="00706181">
        <w:t xml:space="preserve">nfirm consistency of performance over time, rather than a single assessment event. </w:t>
      </w:r>
    </w:p>
    <w:p w:rsidR="00000000" w:rsidRPr="00706181" w:rsidP="00706181">
      <w:pPr>
        <w:pStyle w:val="ListBullet"/>
      </w:pPr>
      <w:r w:rsidRPr="00706181">
        <w:t>This unit of competency must be assessed in a laboratory environment that either meets Australian standards for working laboratories or is accredited by the National Associ</w:t>
      </w:r>
      <w:r w:rsidRPr="00706181">
        <w:t>ation of Testing Authorities (NATA) or the Royal College of Pathology, as appropriate.</w:t>
      </w:r>
    </w:p>
    <w:p w:rsidR="00000000" w:rsidRPr="00706181" w:rsidP="00706181">
      <w:pPr>
        <w:pStyle w:val="ListBullet"/>
      </w:pPr>
      <w:r w:rsidRPr="00706181">
        <w:t xml:space="preserve">Foundation skills are integral to competent performance of the unit and should not be assessed separately. </w:t>
      </w:r>
    </w:p>
    <w:p w:rsidR="00000000" w:rsidRPr="00706181" w:rsidP="00706181">
      <w:pPr>
        <w:pStyle w:val="ListBullet"/>
      </w:pPr>
      <w:r w:rsidRPr="00706181">
        <w:t>Assessment processes and techniques must be appropriate to th</w:t>
      </w:r>
      <w:r w:rsidRPr="00706181">
        <w:t>e language, literacy and numeracy requirements of the work being performed and the needs of the candidate.</w:t>
      </w:r>
    </w:p>
    <w:p w:rsidR="00000000" w:rsidRPr="00706181" w:rsidP="00706181">
      <w:pPr>
        <w:pStyle w:val="ListBullet"/>
      </w:pPr>
      <w:r w:rsidRPr="00706181">
        <w:t xml:space="preserve">Knowledge evidence may be collected concurrently with performance evidence or through an independent process, such as workbooks, written assessments </w:t>
      </w:r>
      <w:r w:rsidRPr="00706181">
        <w:t>or interviews (provided a record is kept in each case).</w:t>
      </w:r>
    </w:p>
    <w:p w:rsidR="00000000" w:rsidRPr="00706181" w:rsidP="00706181">
      <w:pPr>
        <w:pStyle w:val="ListBullet"/>
      </w:pPr>
      <w:r w:rsidRPr="00706181">
        <w:t xml:space="preserve">This unit of competency may be assessed with: </w:t>
      </w:r>
    </w:p>
    <w:p w:rsidR="00000000" w:rsidRPr="00706181" w:rsidP="00706181">
      <w:pPr>
        <w:pStyle w:val="ListBullet2"/>
      </w:pPr>
      <w:r w:rsidRPr="00706181">
        <w:t>MSL915001 Provide information to customers</w:t>
      </w:r>
    </w:p>
    <w:p w:rsidR="00000000" w:rsidRPr="00706181" w:rsidP="00706181">
      <w:pPr>
        <w:pStyle w:val="ListBullet2"/>
      </w:pPr>
      <w:r w:rsidRPr="00706181">
        <w:t>MSL916001 Develop and maintain laboratory documentation</w:t>
      </w:r>
    </w:p>
    <w:p w:rsidR="00000000" w:rsidRPr="00706181" w:rsidP="00706181">
      <w:pPr>
        <w:pStyle w:val="ListBullet2"/>
      </w:pPr>
      <w:r w:rsidRPr="00706181">
        <w:t xml:space="preserve">MSL916003 Supervise laboratory operations in work or </w:t>
      </w:r>
      <w:r w:rsidRPr="00706181">
        <w:t>functional area</w:t>
      </w:r>
    </w:p>
    <w:p w:rsidR="00000000" w:rsidRPr="00706181" w:rsidP="00706181">
      <w:pPr>
        <w:pStyle w:val="ListBullet"/>
      </w:pPr>
      <w:r w:rsidRPr="00706181">
        <w:t xml:space="preserve">Holistic assessment methods include: </w:t>
      </w:r>
    </w:p>
    <w:p w:rsidR="00000000" w:rsidRPr="00706181" w:rsidP="00706181">
      <w:pPr>
        <w:pStyle w:val="ListBullet2"/>
      </w:pPr>
      <w:r w:rsidRPr="00706181">
        <w:t>review of verified records and reports generated by the candidate</w:t>
      </w:r>
    </w:p>
    <w:p w:rsidR="00000000" w:rsidRPr="00706181" w:rsidP="00706181">
      <w:pPr>
        <w:pStyle w:val="ListBullet2"/>
      </w:pPr>
      <w:r w:rsidRPr="00706181">
        <w:t>feedback from managers regarding the candidate's ability to implement workplace compliance procedures</w:t>
      </w:r>
    </w:p>
    <w:p w:rsidR="00000000" w:rsidRPr="00706181" w:rsidP="00706181">
      <w:pPr>
        <w:pStyle w:val="ListBullet2"/>
      </w:pPr>
      <w:r w:rsidRPr="00706181">
        <w:t>review of information developed by the candidate and provided to the work group abut compliance requirements</w:t>
      </w:r>
    </w:p>
    <w:p w:rsidR="00000000" w:rsidRPr="00706181" w:rsidP="00706181">
      <w:pPr>
        <w:pStyle w:val="ListBullet2"/>
      </w:pPr>
      <w:r w:rsidRPr="00706181">
        <w:t>observation of the candidate's interactions with personnel.</w:t>
      </w:r>
    </w:p>
    <w:p w:rsidR="00000000" w:rsidRPr="00706181" w:rsidP="00706181">
      <w:pPr>
        <w:pStyle w:val="ListBullet"/>
      </w:pPr>
      <w:r w:rsidRPr="00706181">
        <w:t>Access is required to instruments, equipment, materials, workplace documentation, proc</w:t>
      </w:r>
      <w:r w:rsidRPr="00706181">
        <w:t>edures and specifications associated with this unit, including, but not limited to:</w:t>
      </w:r>
    </w:p>
    <w:p w:rsidR="00000000" w:rsidRPr="00706181" w:rsidP="00706181">
      <w:pPr>
        <w:pStyle w:val="ListBullet2"/>
      </w:pPr>
      <w:r w:rsidRPr="00706181">
        <w:t>laboratory equipped with appropriate equipment, instruments, services and consumables</w:t>
      </w:r>
    </w:p>
    <w:p w:rsidR="00000000" w:rsidRPr="00706181" w:rsidP="00706181">
      <w:pPr>
        <w:pStyle w:val="ListBullet2"/>
      </w:pPr>
      <w:r w:rsidRPr="00706181">
        <w:t>relevant workplace policies, procedures, operational reports, financial reports and s</w:t>
      </w:r>
      <w:r w:rsidRPr="00706181">
        <w:t>tock records</w:t>
      </w:r>
    </w:p>
    <w:p w:rsidR="00000000" w:rsidRPr="00706181" w:rsidP="00706181">
      <w:pPr>
        <w:pStyle w:val="ListBullet2"/>
      </w:pPr>
      <w:r w:rsidRPr="00706181">
        <w:t>technical manuals, standard operating procedures (SOPs), quality manuals and quality system documentation.</w:t>
      </w:r>
    </w:p>
    <w:p w:rsidR="00000000" w:rsidRPr="00706181" w:rsidP="00706181">
      <w:pPr>
        <w:pStyle w:val="ListBullet"/>
      </w:pPr>
      <w:r w:rsidRPr="00706181">
        <w:t>Assessors must satisfy the assessor competency requirements that are in place at the time of the assessment as set by the VET regulator</w:t>
      </w:r>
      <w:r w:rsidRPr="00706181">
        <w:t xml:space="preserve">.  </w:t>
      </w:r>
    </w:p>
    <w:p w:rsidR="00000000" w:rsidRPr="00706181" w:rsidP="00706181">
      <w:pPr>
        <w:pStyle w:val="ListBullet"/>
      </w:pPr>
      <w:r w:rsidRPr="00706181">
        <w:t>The assessor must demonstrate both technical competency and currency.</w:t>
      </w:r>
    </w:p>
    <w:p w:rsidR="00000000" w:rsidRPr="00706181" w:rsidP="00706181">
      <w:pPr>
        <w:pStyle w:val="ListBullet"/>
      </w:pPr>
      <w:r w:rsidRPr="00706181">
        <w:t>Technical competence can be demonstrated through:</w:t>
      </w:r>
    </w:p>
    <w:p w:rsidR="00000000" w:rsidRPr="00706181" w:rsidP="00706181">
      <w:pPr>
        <w:pStyle w:val="ListBullet2"/>
      </w:pPr>
      <w:r w:rsidRPr="00706181">
        <w:t>relevant VET or other qualification/Statement of Attainment AND/OR</w:t>
      </w:r>
    </w:p>
    <w:p w:rsidR="00000000" w:rsidRPr="00706181" w:rsidP="00706181">
      <w:pPr>
        <w:pStyle w:val="ListBullet2"/>
      </w:pPr>
      <w:r w:rsidRPr="00706181">
        <w:t>relevant workplace experience.</w:t>
      </w:r>
    </w:p>
    <w:p w:rsidR="00000000" w:rsidRPr="00706181" w:rsidP="00706181">
      <w:pPr>
        <w:pStyle w:val="ListBullet"/>
      </w:pPr>
      <w:r w:rsidRPr="00706181">
        <w:t>Currency can be demonstrated through:</w:t>
      </w:r>
    </w:p>
    <w:p w:rsidR="00000000" w:rsidRPr="00706181" w:rsidP="00706181">
      <w:pPr>
        <w:pStyle w:val="ListBullet2"/>
      </w:pPr>
      <w:r w:rsidRPr="00706181">
        <w:t>performing the competency being assessed as part of current employment OR</w:t>
      </w:r>
    </w:p>
    <w:p w:rsidR="00000000" w:rsidRPr="00706181" w:rsidP="00706181">
      <w:pPr>
        <w:pStyle w:val="ListBullet2"/>
      </w:pPr>
      <w:r w:rsidRPr="00706181">
        <w:t>having consulted with a laboratory about performing the competency being assessed within the last twelve months.</w:t>
      </w:r>
    </w:p>
    <w:p w:rsidR="00000000" w:rsidRPr="00706181" w:rsidP="00706181">
      <w:pPr>
        <w:pStyle w:val="AllowPageBreak"/>
      </w:pPr>
    </w:p>
    <w:p w:rsidR="00000000" w:rsidRPr="00706181" w:rsidP="00706181">
      <w:pPr>
        <w:pStyle w:val="Heading1"/>
      </w:pPr>
      <w:bookmarkStart w:id="5" w:name="O_902574"/>
      <w:bookmarkEnd w:id="5"/>
      <w:r w:rsidRPr="00706181">
        <w:t>Links</w:t>
      </w:r>
    </w:p>
    <w:p w:rsidR="00000000" w:rsidRPr="00706181" w:rsidP="00706181">
      <w:pPr>
        <w:pStyle w:val="BodyText"/>
      </w:pPr>
      <w:r w:rsidRPr="00706181">
        <w:t>MSA Tra</w:t>
      </w:r>
      <w:r w:rsidRPr="00706181">
        <w:t>ining Package Implementation Guides - http://mskills.org.au/training-packages/info/</w:t>
      </w:r>
    </w:p>
    <w:p w:rsidR="00000000" w:rsidRPr="00706181" w:rsidP="00706181"/>
    <w:sectPr w:rsidSect="00706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81" w:rsidRPr="00F90C25" w:rsidP="00F90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25" w:rsidP="00706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C25" w:rsidP="00706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90C25" w:rsidP="00706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81" w:rsidRPr="00F90C25" w:rsidP="00F90C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25" w:rsidRPr="002D2AF8" w:rsidP="00706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MSL916004 Maintain registration and statutory or legal compliance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F90C25" w:rsidP="00706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FEC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F07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BAB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181"/>
  </w:style>
  <w:style w:type="character" w:customStyle="1" w:styleId="Heading1Char">
    <w:name w:val="Heading 1 Char"/>
    <w:basedOn w:val="DefaultParagraphFont"/>
    <w:link w:val="Heading1"/>
    <w:rsid w:val="00706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1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1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61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181"/>
    <w:rPr>
      <w:b/>
      <w:spacing w:val="0"/>
    </w:rPr>
  </w:style>
  <w:style w:type="paragraph" w:customStyle="1" w:styleId="SuperTitle">
    <w:name w:val="SuperTitle"/>
    <w:basedOn w:val="Title"/>
    <w:rsid w:val="00706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181"/>
    <w:rPr>
      <w:i/>
    </w:rPr>
  </w:style>
  <w:style w:type="paragraph" w:styleId="Caption">
    <w:name w:val="caption"/>
    <w:basedOn w:val="BodyText"/>
    <w:next w:val="Normal"/>
    <w:qFormat/>
    <w:rsid w:val="00706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181"/>
  </w:style>
  <w:style w:type="paragraph" w:styleId="TableofFigures">
    <w:name w:val="table of figures"/>
    <w:basedOn w:val="Normal"/>
    <w:next w:val="Normal"/>
    <w:semiHidden/>
    <w:rsid w:val="00706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181"/>
    <w:pPr>
      <w:numPr>
        <w:numId w:val="11"/>
      </w:numPr>
    </w:pPr>
  </w:style>
  <w:style w:type="character" w:customStyle="1" w:styleId="WingdingSymbols">
    <w:name w:val="Wingding Symbols"/>
    <w:rsid w:val="00706181"/>
    <w:rPr>
      <w:rFonts w:ascii="Wingdings" w:hAnsi="Wingdings"/>
    </w:rPr>
  </w:style>
  <w:style w:type="paragraph" w:customStyle="1" w:styleId="TableHeading">
    <w:name w:val="Table Heading"/>
    <w:basedOn w:val="HeadingBase"/>
    <w:rsid w:val="00706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181"/>
    <w:rPr>
      <w:color w:val="0033CC"/>
      <w:u w:val="none"/>
    </w:rPr>
  </w:style>
  <w:style w:type="paragraph" w:customStyle="1" w:styleId="BodyTextRight">
    <w:name w:val="Body Text Right"/>
    <w:basedOn w:val="BodyText"/>
    <w:rsid w:val="00706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1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181"/>
    <w:rPr>
      <w:sz w:val="32"/>
    </w:rPr>
  </w:style>
  <w:style w:type="paragraph" w:customStyle="1" w:styleId="HeadingProcedure">
    <w:name w:val="Heading Procedure"/>
    <w:basedOn w:val="HeadingBase"/>
    <w:next w:val="Normal"/>
    <w:rsid w:val="00706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181"/>
    <w:pPr>
      <w:spacing w:before="60" w:after="60"/>
    </w:pPr>
  </w:style>
  <w:style w:type="paragraph" w:styleId="ListContinue">
    <w:name w:val="List Continue"/>
    <w:basedOn w:val="List"/>
    <w:rsid w:val="00706181"/>
    <w:pPr>
      <w:ind w:firstLine="0"/>
    </w:pPr>
  </w:style>
  <w:style w:type="paragraph" w:customStyle="1" w:styleId="ListNote">
    <w:name w:val="List Note"/>
    <w:basedOn w:val="List"/>
    <w:rsid w:val="00706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181"/>
    <w:rPr>
      <w:rFonts w:ascii="Courier New" w:hAnsi="Courier New"/>
    </w:rPr>
  </w:style>
  <w:style w:type="paragraph" w:customStyle="1" w:styleId="NoteBullet">
    <w:name w:val="Note Bullet"/>
    <w:basedOn w:val="Note"/>
    <w:rsid w:val="00706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1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6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181"/>
    <w:rPr>
      <w:b/>
      <w:smallCaps/>
    </w:rPr>
  </w:style>
  <w:style w:type="paragraph" w:customStyle="1" w:styleId="TableListNumber">
    <w:name w:val="Table List Number"/>
    <w:basedOn w:val="ListNumber"/>
    <w:rsid w:val="00706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181"/>
    <w:pPr>
      <w:numPr>
        <w:numId w:val="9"/>
      </w:numPr>
    </w:pPr>
  </w:style>
  <w:style w:type="paragraph" w:customStyle="1" w:styleId="ListAlpha2">
    <w:name w:val="List Alpha 2"/>
    <w:basedOn w:val="List2"/>
    <w:rsid w:val="00706181"/>
    <w:pPr>
      <w:numPr>
        <w:numId w:val="8"/>
      </w:numPr>
    </w:pPr>
  </w:style>
  <w:style w:type="paragraph" w:styleId="List2">
    <w:name w:val="List 2"/>
    <w:basedOn w:val="BodyText"/>
    <w:rsid w:val="00706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1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1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181"/>
    <w:pPr>
      <w:numPr>
        <w:numId w:val="4"/>
      </w:numPr>
    </w:pPr>
  </w:style>
  <w:style w:type="paragraph" w:styleId="ListContinue2">
    <w:name w:val="List Continue 2"/>
    <w:basedOn w:val="List2"/>
    <w:rsid w:val="00706181"/>
    <w:pPr>
      <w:ind w:firstLine="0"/>
    </w:pPr>
  </w:style>
  <w:style w:type="paragraph" w:styleId="ListContinue3">
    <w:name w:val="List Continue 3"/>
    <w:basedOn w:val="List3"/>
    <w:rsid w:val="00706181"/>
    <w:pPr>
      <w:ind w:left="1021" w:firstLine="0"/>
    </w:pPr>
  </w:style>
  <w:style w:type="paragraph" w:styleId="ListContinue4">
    <w:name w:val="List Continue 4"/>
    <w:basedOn w:val="List4"/>
    <w:rsid w:val="00706181"/>
    <w:pPr>
      <w:ind w:firstLine="0"/>
    </w:pPr>
  </w:style>
  <w:style w:type="paragraph" w:styleId="ListContinue5">
    <w:name w:val="List Continue 5"/>
    <w:basedOn w:val="List5"/>
    <w:rsid w:val="00706181"/>
    <w:pPr>
      <w:ind w:firstLine="0"/>
    </w:pPr>
  </w:style>
  <w:style w:type="paragraph" w:styleId="ListNumber3">
    <w:name w:val="List Number 3"/>
    <w:basedOn w:val="List3"/>
    <w:rsid w:val="00706181"/>
    <w:pPr>
      <w:numPr>
        <w:numId w:val="5"/>
      </w:numPr>
    </w:pPr>
  </w:style>
  <w:style w:type="paragraph" w:styleId="ListNumber4">
    <w:name w:val="List Number 4"/>
    <w:basedOn w:val="List4"/>
    <w:rsid w:val="00706181"/>
    <w:pPr>
      <w:numPr>
        <w:numId w:val="6"/>
      </w:numPr>
    </w:pPr>
  </w:style>
  <w:style w:type="paragraph" w:styleId="ListNumber5">
    <w:name w:val="List Number 5"/>
    <w:basedOn w:val="List5"/>
    <w:rsid w:val="00706181"/>
    <w:pPr>
      <w:numPr>
        <w:numId w:val="7"/>
      </w:numPr>
    </w:pPr>
  </w:style>
  <w:style w:type="paragraph" w:styleId="BlockText">
    <w:name w:val="Block Text"/>
    <w:basedOn w:val="Normal"/>
    <w:rsid w:val="00706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181"/>
    <w:rPr>
      <w:sz w:val="16"/>
      <w:vertAlign w:val="superscript"/>
    </w:rPr>
  </w:style>
  <w:style w:type="character" w:customStyle="1" w:styleId="Symbols">
    <w:name w:val="Symbols"/>
    <w:basedOn w:val="DefaultParagraphFont"/>
    <w:rsid w:val="00706181"/>
    <w:rPr>
      <w:rFonts w:ascii="Symbol" w:hAnsi="Symbol"/>
    </w:rPr>
  </w:style>
  <w:style w:type="character" w:customStyle="1" w:styleId="MenuOptions">
    <w:name w:val="Menu Options"/>
    <w:basedOn w:val="DefaultParagraphFont"/>
    <w:rsid w:val="00706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181"/>
    <w:rPr>
      <w:b/>
    </w:rPr>
  </w:style>
  <w:style w:type="character" w:customStyle="1" w:styleId="Underlined">
    <w:name w:val="Underlined"/>
    <w:basedOn w:val="DefaultParagraphFont"/>
    <w:rsid w:val="00706181"/>
    <w:rPr>
      <w:u w:val="single"/>
    </w:rPr>
  </w:style>
  <w:style w:type="paragraph" w:customStyle="1" w:styleId="TableBodyTextRight">
    <w:name w:val="Table Body Text Right"/>
    <w:basedOn w:val="TableBodyText"/>
    <w:rsid w:val="00706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181"/>
    <w:rPr>
      <w:sz w:val="18"/>
    </w:rPr>
  </w:style>
  <w:style w:type="paragraph" w:customStyle="1" w:styleId="BodySmallRight">
    <w:name w:val="Body Small Right"/>
    <w:basedOn w:val="BodyTextRight"/>
    <w:rsid w:val="00706181"/>
    <w:rPr>
      <w:sz w:val="18"/>
      <w:szCs w:val="18"/>
    </w:rPr>
  </w:style>
  <w:style w:type="paragraph" w:customStyle="1" w:styleId="MarginEdition">
    <w:name w:val="Margin Edition"/>
    <w:basedOn w:val="MarginNote"/>
    <w:rsid w:val="00706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181"/>
    <w:rPr>
      <w:sz w:val="2"/>
      <w:szCs w:val="2"/>
    </w:rPr>
  </w:style>
  <w:style w:type="character" w:customStyle="1" w:styleId="Small">
    <w:name w:val="Small"/>
    <w:basedOn w:val="DefaultParagraphFont"/>
    <w:rsid w:val="00706181"/>
    <w:rPr>
      <w:sz w:val="16"/>
    </w:rPr>
  </w:style>
  <w:style w:type="paragraph" w:customStyle="1" w:styleId="WideTable">
    <w:name w:val="Wide Table"/>
    <w:basedOn w:val="Normal"/>
    <w:rsid w:val="00706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181"/>
  </w:style>
  <w:style w:type="paragraph" w:styleId="Quote">
    <w:name w:val="Quote"/>
    <w:basedOn w:val="Heading1"/>
    <w:link w:val="QuoteChar"/>
    <w:qFormat/>
    <w:rsid w:val="00706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181"/>
    <w:pPr>
      <w:pageBreakBefore/>
    </w:pPr>
  </w:style>
  <w:style w:type="paragraph" w:customStyle="1" w:styleId="Border">
    <w:name w:val="Border"/>
    <w:basedOn w:val="Normal"/>
    <w:qFormat/>
    <w:rsid w:val="00706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181"/>
    <w:rPr>
      <w:u w:val="single"/>
    </w:rPr>
  </w:style>
  <w:style w:type="character" w:customStyle="1" w:styleId="BoldandItalics">
    <w:name w:val="Bold and Italics"/>
    <w:qFormat/>
    <w:rsid w:val="00706181"/>
    <w:rPr>
      <w:b/>
      <w:i/>
      <w:u w:val="none"/>
    </w:rPr>
  </w:style>
  <w:style w:type="paragraph" w:styleId="BalloonText">
    <w:name w:val="Balloon Text"/>
    <w:basedOn w:val="Normal"/>
    <w:link w:val="BalloonTextChar"/>
    <w:rsid w:val="00706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1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1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3974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MSL916004 Maintain registration and statutory or legal compliance in work or functional area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2016-03-01T06:32:00Z</dcterms:created>
  <dcterms:modified xsi:type="dcterms:W3CDTF">2016-03-01T06:32:00Z</dcterms:modified>
</cp:coreProperties>
</file>