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C05" w:rsidP="00544C05">
      <w:pPr>
        <w:pStyle w:val="Title"/>
      </w:pPr>
      <w:r>
        <w:fldChar w:fldCharType="begin"/>
      </w:r>
      <w:r>
        <w:instrText xml:space="preserve"> TITLE   \* MERGEFORMAT </w:instrText>
      </w:r>
      <w:r>
        <w:fldChar w:fldCharType="separate"/>
      </w:r>
      <w:r>
        <w:t>MSL915001 Provide information to customers</w:t>
      </w:r>
      <w:r>
        <w:fldChar w:fldCharType="end"/>
      </w:r>
    </w:p>
    <w:p w:rsidR="00544C05" w:rsidP="00544C05">
      <w:pPr>
        <w:pStyle w:val="Version"/>
        <w:sectPr w:rsidSect="005512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1261" w:rsidP="00551261">
      <w:pPr>
        <w:pStyle w:val="SuperHeading"/>
      </w:pPr>
      <w:r w:rsidRPr="00551261">
        <w:t>MSL915001 Provide information to customers</w:t>
      </w:r>
    </w:p>
    <w:p w:rsidR="00000000" w:rsidRPr="00551261" w:rsidP="00551261">
      <w:pPr>
        <w:pStyle w:val="Heading1"/>
      </w:pPr>
      <w:bookmarkStart w:id="1" w:name="O_902484"/>
      <w:bookmarkEnd w:id="1"/>
      <w:r w:rsidRPr="00551261">
        <w:t>Modification History</w:t>
      </w:r>
    </w:p>
    <w:p w:rsidR="00000000" w:rsidRPr="00551261" w:rsidP="00544C05">
      <w:pPr>
        <w:pStyle w:val="BodyText"/>
      </w:pPr>
      <w:r w:rsidRPr="00551261">
        <w:t>Release 1. Supersedes and is equivalent to MSL915001A Provide information to customers</w:t>
      </w:r>
    </w:p>
    <w:p w:rsidR="00000000" w:rsidRPr="00551261" w:rsidP="00551261">
      <w:pPr>
        <w:pStyle w:val="Heading1"/>
      </w:pPr>
      <w:bookmarkStart w:id="2" w:name="O_902492"/>
      <w:bookmarkEnd w:id="2"/>
      <w:r w:rsidRPr="00551261">
        <w:t>Application</w:t>
      </w:r>
    </w:p>
    <w:p w:rsidR="00000000" w:rsidRPr="00551261" w:rsidP="00544C05">
      <w:pPr>
        <w:pStyle w:val="BodyText"/>
      </w:pPr>
      <w:r w:rsidRPr="00551261">
        <w:t>This unit of competency covers the ability to respond to both internal and external inquiries of a specialised technica</w:t>
      </w:r>
      <w:r w:rsidRPr="00551261">
        <w:t>l nature. The advice and information requested will require the gathering of information, such as trend analysis, collection of data and samples, confirmation of validity of results, and revision of plans or product advice additional to that on data sheets</w:t>
      </w:r>
      <w:r w:rsidRPr="00551261">
        <w:t>.</w:t>
      </w:r>
    </w:p>
    <w:p w:rsidR="00000000" w:rsidRPr="00551261" w:rsidP="00544C05">
      <w:pPr>
        <w:pStyle w:val="BodyText"/>
      </w:pPr>
      <w:r w:rsidRPr="00551261">
        <w:t>This unit of competency is applicable to technical assistants and officers in all industry sectors. All personnel that conduct sampling and testing are required to communicate appropriately with internal and external customers in order to respond effect</w:t>
      </w:r>
      <w:r w:rsidRPr="00551261">
        <w:t>ively to requests of a specialised technical nature.</w:t>
      </w:r>
    </w:p>
    <w:p w:rsidR="00000000" w:rsidRPr="00551261" w:rsidP="00544C05">
      <w:pPr>
        <w:pStyle w:val="BodyText"/>
      </w:pPr>
      <w:r w:rsidRPr="00551261">
        <w:t>While no specific licensing or certification requirements apply to this unit at the time of publication, laboratory operations are governed by relevant legislation, regulations and/or external accredita</w:t>
      </w:r>
      <w:r w:rsidRPr="00551261">
        <w:t>tion requirements. Local requirements should be checked.</w:t>
      </w:r>
    </w:p>
    <w:p w:rsidR="00000000" w:rsidRPr="00551261" w:rsidP="00551261">
      <w:pPr>
        <w:pStyle w:val="Heading1"/>
      </w:pPr>
      <w:bookmarkStart w:id="3" w:name="O_902491"/>
      <w:bookmarkEnd w:id="3"/>
      <w:r w:rsidRPr="00551261">
        <w:t>Pre-requisite Unit</w:t>
      </w:r>
    </w:p>
    <w:p w:rsidR="00000000" w:rsidRPr="00551261" w:rsidP="00544C05">
      <w:pPr>
        <w:pStyle w:val="BodyText"/>
      </w:pPr>
      <w:r w:rsidRPr="00551261">
        <w:t>Nil</w:t>
      </w:r>
    </w:p>
    <w:p w:rsidR="00000000" w:rsidRPr="00551261" w:rsidP="00551261">
      <w:pPr>
        <w:pStyle w:val="Heading1"/>
      </w:pPr>
      <w:bookmarkStart w:id="4" w:name="O_902490"/>
      <w:bookmarkEnd w:id="4"/>
      <w:r w:rsidRPr="00551261">
        <w:t>Competency Field</w:t>
      </w:r>
    </w:p>
    <w:p w:rsidR="00000000" w:rsidRPr="00551261" w:rsidP="00544C05">
      <w:pPr>
        <w:pStyle w:val="BodyText"/>
      </w:pPr>
      <w:r w:rsidRPr="00551261">
        <w:t>Communication/organisation</w:t>
      </w:r>
    </w:p>
    <w:p w:rsidR="00000000" w:rsidRPr="00551261" w:rsidP="00551261">
      <w:pPr>
        <w:pStyle w:val="Heading1"/>
      </w:pPr>
      <w:bookmarkStart w:id="5" w:name="O_902489"/>
      <w:bookmarkEnd w:id="5"/>
      <w:r w:rsidRPr="00551261">
        <w:t>Unit Sector</w:t>
      </w:r>
    </w:p>
    <w:p w:rsidR="00000000" w:rsidRPr="00551261" w:rsidP="00551261">
      <w:pPr>
        <w:pStyle w:val="Heading1"/>
      </w:pPr>
      <w:bookmarkStart w:id="6" w:name="O_902488"/>
      <w:bookmarkEnd w:id="6"/>
      <w:r w:rsidRPr="0055126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5126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Elements describe t</w:t>
            </w:r>
            <w:r w:rsidRPr="00551261">
              <w: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Performance criteria describe the performance needed to demonstrate achievement of the element.</w:t>
            </w:r>
          </w:p>
        </w:tc>
      </w:tr>
      <w:tr w:rsidTr="00551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51261" w:rsidP="00551261">
            <w:pPr>
              <w:pStyle w:val="BodyText"/>
            </w:pPr>
            <w:r w:rsidRPr="00551261">
              <w:t>1</w:t>
            </w:r>
          </w:p>
        </w:tc>
        <w:tc>
          <w:tcPr>
            <w:tcW w:w="1962" w:type="dxa"/>
            <w:vMerge w:val="restart"/>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rPr>
                <w:rStyle w:val="SpecialBold"/>
              </w:rPr>
              <w:t>Assess the request for information and/or advice</w:t>
            </w:r>
          </w:p>
        </w:tc>
        <w:tc>
          <w:tcPr>
            <w:tcW w:w="77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1.1</w:t>
            </w:r>
          </w:p>
        </w:tc>
        <w:tc>
          <w:tcPr>
            <w:tcW w:w="561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Clarify and confirm the source, nature and priority of the request</w:t>
            </w:r>
          </w:p>
        </w:tc>
      </w:tr>
      <w:tr w:rsidTr="00551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1.2</w:t>
            </w:r>
          </w:p>
        </w:tc>
        <w:tc>
          <w:tcPr>
            <w:tcW w:w="561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Redirect the request to the relevant section, department or person, if appropriate</w:t>
            </w:r>
          </w:p>
        </w:tc>
      </w:tr>
      <w:tr w:rsidTr="00551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1.3</w:t>
            </w:r>
          </w:p>
        </w:tc>
        <w:tc>
          <w:tcPr>
            <w:tcW w:w="561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Record the receipt of the request in accordance with workplace procedures</w:t>
            </w:r>
          </w:p>
        </w:tc>
      </w:tr>
      <w:tr w:rsidTr="005512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51261">
            <w:pPr>
              <w:pStyle w:val="BodyText"/>
              <w:rPr>
                <w:lang w:val="en-NZ"/>
              </w:rPr>
            </w:pPr>
          </w:p>
        </w:tc>
      </w:tr>
      <w:tr w:rsidTr="00551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51261" w:rsidP="00551261">
            <w:pPr>
              <w:pStyle w:val="BodyText"/>
            </w:pPr>
            <w:r w:rsidRPr="00551261">
              <w:t>2</w:t>
            </w:r>
          </w:p>
        </w:tc>
        <w:tc>
          <w:tcPr>
            <w:tcW w:w="1962" w:type="dxa"/>
            <w:vMerge w:val="restart"/>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rPr>
                <w:rStyle w:val="SpecialBold"/>
              </w:rPr>
              <w:t>Prepare response</w:t>
            </w:r>
          </w:p>
        </w:tc>
        <w:tc>
          <w:tcPr>
            <w:tcW w:w="77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2.1</w:t>
            </w:r>
          </w:p>
        </w:tc>
        <w:tc>
          <w:tcPr>
            <w:tcW w:w="561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Locate and obtain required information if available</w:t>
            </w:r>
          </w:p>
        </w:tc>
      </w:tr>
      <w:tr w:rsidTr="00551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2.2</w:t>
            </w:r>
          </w:p>
        </w:tc>
        <w:tc>
          <w:tcPr>
            <w:tcW w:w="561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If not available, decide whether to obtain or generate the required information given the priority and costs involved</w:t>
            </w:r>
          </w:p>
        </w:tc>
      </w:tr>
      <w:tr w:rsidTr="00551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2.3</w:t>
            </w:r>
          </w:p>
        </w:tc>
        <w:tc>
          <w:tcPr>
            <w:tcW w:w="561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Seek required approval/authority to release information before proceeding</w:t>
            </w:r>
          </w:p>
        </w:tc>
      </w:tr>
      <w:tr w:rsidTr="005512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51261">
            <w:pPr>
              <w:pStyle w:val="BodyText"/>
              <w:rPr>
                <w:lang w:val="en-NZ"/>
              </w:rPr>
            </w:pPr>
          </w:p>
        </w:tc>
      </w:tr>
      <w:tr w:rsidTr="00551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51261" w:rsidP="00551261">
            <w:pPr>
              <w:pStyle w:val="BodyText"/>
            </w:pPr>
            <w:r w:rsidRPr="00551261">
              <w:t>3</w:t>
            </w:r>
          </w:p>
        </w:tc>
        <w:tc>
          <w:tcPr>
            <w:tcW w:w="1962" w:type="dxa"/>
            <w:vMerge w:val="restart"/>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rPr>
                <w:rStyle w:val="SpecialBold"/>
              </w:rPr>
              <w:t>Provide information and/or advice</w:t>
            </w:r>
          </w:p>
        </w:tc>
        <w:tc>
          <w:tcPr>
            <w:tcW w:w="77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3.1</w:t>
            </w:r>
          </w:p>
        </w:tc>
        <w:tc>
          <w:tcPr>
            <w:tcW w:w="561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Ensure that information is accurate, relevant and complies with workplace/statutory requirements</w:t>
            </w:r>
          </w:p>
        </w:tc>
      </w:tr>
      <w:tr w:rsidTr="00551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3.2</w:t>
            </w:r>
          </w:p>
        </w:tc>
        <w:tc>
          <w:tcPr>
            <w:tcW w:w="561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 xml:space="preserve">Keep the customer informed of progress when it is not possible to answer immediately </w:t>
            </w:r>
          </w:p>
        </w:tc>
      </w:tr>
      <w:tr w:rsidTr="00551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3.3</w:t>
            </w:r>
          </w:p>
        </w:tc>
        <w:tc>
          <w:tcPr>
            <w:tcW w:w="561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Notify other relevant personnel of request and response in accordance with workplace procedures</w:t>
            </w:r>
          </w:p>
        </w:tc>
      </w:tr>
      <w:tr w:rsidTr="00551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3.4</w:t>
            </w:r>
          </w:p>
        </w:tc>
        <w:tc>
          <w:tcPr>
            <w:tcW w:w="561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Use most appropriate communication method given priority, cost and customer facilities</w:t>
            </w:r>
          </w:p>
        </w:tc>
      </w:tr>
      <w:tr w:rsidTr="00551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3.5</w:t>
            </w:r>
          </w:p>
        </w:tc>
        <w:tc>
          <w:tcPr>
            <w:tcW w:w="561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Provide information in a format suitable to customer</w:t>
            </w:r>
          </w:p>
        </w:tc>
      </w:tr>
      <w:tr w:rsidTr="00551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3.6</w:t>
            </w:r>
          </w:p>
        </w:tc>
        <w:tc>
          <w:tcPr>
            <w:tcW w:w="561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Check that the response met the customer</w:t>
            </w:r>
            <w:r>
              <w:t>’</w:t>
            </w:r>
            <w:r w:rsidRPr="00551261">
              <w:t>s needs and take appropriate actions if required</w:t>
            </w:r>
          </w:p>
        </w:tc>
      </w:tr>
      <w:tr w:rsidTr="00551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3.7</w:t>
            </w:r>
          </w:p>
        </w:tc>
        <w:tc>
          <w:tcPr>
            <w:tcW w:w="561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Deal with customers politely, efficiently and appropriately, and in accordance with workplace procedures</w:t>
            </w:r>
          </w:p>
        </w:tc>
      </w:tr>
      <w:tr w:rsidTr="005512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51261">
            <w:pPr>
              <w:pStyle w:val="BodyText"/>
              <w:rPr>
                <w:lang w:val="en-NZ"/>
              </w:rPr>
            </w:pPr>
          </w:p>
        </w:tc>
      </w:tr>
      <w:tr w:rsidTr="00551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51261" w:rsidP="00551261">
            <w:pPr>
              <w:pStyle w:val="BodyText"/>
            </w:pPr>
            <w:r w:rsidRPr="00551261">
              <w:t>4</w:t>
            </w:r>
          </w:p>
        </w:tc>
        <w:tc>
          <w:tcPr>
            <w:tcW w:w="1962" w:type="dxa"/>
            <w:vMerge w:val="restart"/>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rPr>
                <w:rStyle w:val="SpecialBold"/>
              </w:rPr>
              <w:t>Record details of the request and response</w:t>
            </w:r>
          </w:p>
        </w:tc>
        <w:tc>
          <w:tcPr>
            <w:tcW w:w="77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4.1</w:t>
            </w:r>
          </w:p>
        </w:tc>
        <w:tc>
          <w:tcPr>
            <w:tcW w:w="561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Record all information details accurately in accordance with workplace procedures</w:t>
            </w:r>
          </w:p>
        </w:tc>
      </w:tr>
      <w:tr w:rsidTr="00551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4.2</w:t>
            </w:r>
          </w:p>
        </w:tc>
        <w:tc>
          <w:tcPr>
            <w:tcW w:w="561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Ensure that all written information is accurate and/or legible</w:t>
            </w:r>
          </w:p>
        </w:tc>
      </w:tr>
      <w:tr w:rsidTr="005512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4.3</w:t>
            </w:r>
          </w:p>
        </w:tc>
        <w:tc>
          <w:tcPr>
            <w:tcW w:w="5610" w:type="dxa"/>
            <w:tcBorders>
              <w:top w:val="nil"/>
              <w:left w:val="nil"/>
              <w:bottom w:val="nil"/>
              <w:right w:val="nil"/>
            </w:tcBorders>
            <w:tcMar>
              <w:top w:w="0" w:type="dxa"/>
              <w:left w:w="62" w:type="dxa"/>
              <w:bottom w:w="0" w:type="dxa"/>
              <w:right w:w="62" w:type="dxa"/>
            </w:tcMar>
          </w:tcPr>
          <w:p w:rsidR="00000000" w:rsidRPr="00551261" w:rsidP="00551261">
            <w:pPr>
              <w:pStyle w:val="BodyText"/>
            </w:pPr>
            <w:r w:rsidRPr="00551261">
              <w:t>File all records in the designated place and in accordance with workplace procedures</w:t>
            </w:r>
          </w:p>
        </w:tc>
      </w:tr>
    </w:tbl>
    <w:p w:rsidR="00000000" w:rsidRPr="00551261" w:rsidP="00551261">
      <w:pPr>
        <w:pStyle w:val="BodyText"/>
      </w:pPr>
    </w:p>
    <w:p w:rsidR="00000000" w:rsidRPr="00551261" w:rsidP="00551261">
      <w:pPr>
        <w:pStyle w:val="AllowPageBreak"/>
      </w:pPr>
    </w:p>
    <w:p w:rsidR="00000000" w:rsidRPr="00551261" w:rsidP="00551261">
      <w:pPr>
        <w:pStyle w:val="Heading1"/>
      </w:pPr>
      <w:bookmarkStart w:id="7" w:name="O_902487"/>
      <w:bookmarkEnd w:id="7"/>
      <w:r w:rsidRPr="00551261">
        <w:t>Foundation Skills</w:t>
      </w:r>
    </w:p>
    <w:p w:rsidR="00000000" w:rsidRPr="00551261" w:rsidP="00544C05">
      <w:pPr>
        <w:pStyle w:val="BodyText"/>
      </w:pPr>
      <w:r w:rsidRPr="00551261">
        <w:t>This section describes those language, literacy, numeracy and employment skills that are essential to performance.</w:t>
      </w:r>
    </w:p>
    <w:p w:rsidR="00000000" w:rsidRPr="00551261" w:rsidP="00544C05">
      <w:pPr>
        <w:pStyle w:val="BodyText"/>
      </w:pPr>
      <w:r w:rsidRPr="00551261">
        <w:t>Foundation skills essential to perfo</w:t>
      </w:r>
      <w:r w:rsidRPr="00551261">
        <w:t>rmance are explicit in the performance criteria of this unit of competency.</w:t>
      </w:r>
    </w:p>
    <w:p w:rsidR="00000000" w:rsidRPr="00551261" w:rsidP="00551261">
      <w:pPr>
        <w:pStyle w:val="Heading1"/>
      </w:pPr>
      <w:bookmarkStart w:id="8" w:name="O_902486"/>
      <w:bookmarkEnd w:id="8"/>
      <w:r w:rsidRPr="00551261">
        <w:t>Range of Conditions</w:t>
      </w:r>
    </w:p>
    <w:tbl>
      <w:tblPr>
        <w:tblW w:w="0" w:type="auto"/>
        <w:tblCellMar>
          <w:left w:w="62" w:type="dxa"/>
          <w:right w:w="62" w:type="dxa"/>
        </w:tblCellMar>
        <w:tblLook w:val="0000"/>
      </w:tblPr>
      <w:tblGrid>
        <w:gridCol w:w="2163"/>
        <w:gridCol w:w="7033"/>
      </w:tblGrid>
      <w:tr w:rsidTr="00544C0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t>This field allows for different work environments and conditions that may affect performance. Essential operating conditions that may be presen</w:t>
            </w:r>
            <w:r w:rsidRPr="00551261">
              <w:t>t (depending on the work situation, needs of the candidate, accessibility of the item, and local industry and regional contexts) are included.</w:t>
            </w:r>
          </w:p>
        </w:tc>
      </w:tr>
      <w:tr w:rsidTr="00544C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551261" w:rsidP="00551261">
            <w:pPr>
              <w:pStyle w:val="BodyText"/>
            </w:pPr>
            <w:r w:rsidRPr="00551261">
              <w:t>Standards, codes, procedures and/or workplace requi</w:t>
            </w:r>
            <w:r w:rsidRPr="00551261">
              <w:t>rements include the latest version of one or more of:</w:t>
            </w:r>
          </w:p>
          <w:p w:rsidR="00000000" w:rsidRPr="00551261" w:rsidP="00551261">
            <w:pPr>
              <w:pStyle w:val="ListBullet"/>
            </w:pPr>
            <w:r w:rsidRPr="00551261">
              <w:t>Australian and international standards and codes relevant to the laboratory’s operations and scope of testing, safety in laboratories, and quality and environmental management</w:t>
            </w:r>
          </w:p>
          <w:p w:rsidR="00000000" w:rsidRPr="00551261" w:rsidP="00551261">
            <w:pPr>
              <w:pStyle w:val="ListBullet"/>
            </w:pPr>
            <w:r w:rsidRPr="00551261">
              <w:t>registration/licensing an</w:t>
            </w:r>
            <w:r w:rsidRPr="00551261">
              <w:t>d/or National Association of Testing Authorities (NATA) accreditation requirements</w:t>
            </w:r>
          </w:p>
          <w:p w:rsidR="00000000" w:rsidRPr="00551261" w:rsidP="00551261">
            <w:pPr>
              <w:pStyle w:val="ListBullet"/>
            </w:pPr>
            <w:r w:rsidRPr="00551261">
              <w:t>work health and safety (WHS) national standards and codes of practice</w:t>
            </w:r>
          </w:p>
          <w:p w:rsidR="00000000" w:rsidRPr="00551261" w:rsidP="00551261">
            <w:pPr>
              <w:pStyle w:val="ListBullet"/>
            </w:pPr>
            <w:r w:rsidRPr="00551261">
              <w:t>workplace documents, such as equipment manuals, laboratory records, certified laboratory reports, and analysis report sheets (past and present)</w:t>
            </w:r>
          </w:p>
          <w:p w:rsidR="00000000" w:rsidRPr="00551261" w:rsidP="00551261">
            <w:pPr>
              <w:pStyle w:val="ListBullet"/>
            </w:pPr>
            <w:r w:rsidRPr="00551261">
              <w:t>workplace procedures governing:</w:t>
            </w:r>
          </w:p>
          <w:p w:rsidR="00000000" w:rsidRPr="00551261" w:rsidP="00551261">
            <w:pPr>
              <w:pStyle w:val="ListBullet2"/>
            </w:pPr>
            <w:r w:rsidRPr="00551261">
              <w:t>receipt of requests</w:t>
            </w:r>
          </w:p>
          <w:p w:rsidR="00000000" w:rsidRPr="00551261" w:rsidP="00551261">
            <w:pPr>
              <w:pStyle w:val="ListBullet2"/>
            </w:pPr>
            <w:r w:rsidRPr="00551261">
              <w:t>release of information and results and confidentiality need</w:t>
            </w:r>
            <w:r w:rsidRPr="00551261">
              <w:t>s of clients and customers</w:t>
            </w:r>
          </w:p>
          <w:p w:rsidR="00000000" w:rsidRPr="00551261" w:rsidP="00551261">
            <w:pPr>
              <w:pStyle w:val="ListBullet2"/>
            </w:pPr>
            <w:r w:rsidRPr="00551261">
              <w:t>sample collection protocols and techniques for preserving sample integrity</w:t>
            </w:r>
          </w:p>
          <w:p w:rsidR="00000000" w:rsidRPr="00551261" w:rsidP="00551261">
            <w:pPr>
              <w:pStyle w:val="ListBullet2"/>
            </w:pPr>
            <w:r w:rsidRPr="00551261">
              <w:t>handling and collection of native fauna and flora (based on animal welfare legislation and codes of practice)</w:t>
            </w:r>
          </w:p>
          <w:p w:rsidR="00000000" w:rsidRPr="00551261" w:rsidP="00551261">
            <w:pPr>
              <w:pStyle w:val="ListBullet2"/>
            </w:pPr>
            <w:r w:rsidRPr="00551261">
              <w:t>filing systems, databases and laboratory rec</w:t>
            </w:r>
            <w:r w:rsidRPr="00551261">
              <w:t>ords</w:t>
            </w:r>
          </w:p>
          <w:p w:rsidR="00000000" w:rsidP="00551261">
            <w:pPr>
              <w:pStyle w:val="BodyText"/>
              <w:rPr>
                <w:lang w:val="en-NZ"/>
              </w:rPr>
            </w:pPr>
          </w:p>
        </w:tc>
      </w:tr>
      <w:tr w:rsidTr="00544C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rPr>
                <w:rStyle w:val="SpecialBold"/>
              </w:rPr>
              <w:t xml:space="preserve">Items of equipment or systems </w:t>
            </w:r>
          </w:p>
        </w:tc>
        <w:tc>
          <w:tcPr>
            <w:tcW w:w="0" w:type="auto"/>
            <w:tcBorders>
              <w:top w:val="nil"/>
              <w:left w:val="nil"/>
              <w:bottom w:val="nil"/>
              <w:right w:val="nil"/>
            </w:tcBorders>
            <w:tcMar>
              <w:top w:w="0" w:type="dxa"/>
              <w:left w:w="62" w:type="dxa"/>
              <w:bottom w:w="0" w:type="dxa"/>
              <w:right w:w="62" w:type="dxa"/>
            </w:tcMar>
          </w:tcPr>
          <w:p w:rsidR="00000000" w:rsidRPr="00551261" w:rsidP="00551261">
            <w:pPr>
              <w:pStyle w:val="BodyText"/>
            </w:pPr>
            <w:r w:rsidRPr="00551261">
              <w:t xml:space="preserve">Items of equipment or systems include one or more of: </w:t>
            </w:r>
          </w:p>
          <w:p w:rsidR="00000000" w:rsidRPr="00551261" w:rsidP="00551261">
            <w:pPr>
              <w:pStyle w:val="ListBullet"/>
            </w:pPr>
            <w:r w:rsidRPr="00551261">
              <w:t>telephone, email, intranet, internet and computer software applications (databases and spreadsheets)</w:t>
            </w:r>
          </w:p>
          <w:p w:rsidR="00000000" w:rsidP="00551261">
            <w:pPr>
              <w:pStyle w:val="BodyText"/>
              <w:rPr>
                <w:lang w:val="en-NZ"/>
              </w:rPr>
            </w:pPr>
          </w:p>
        </w:tc>
      </w:tr>
      <w:tr w:rsidTr="00544C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rPr>
                <w:rStyle w:val="SpecialBold"/>
              </w:rPr>
              <w:t xml:space="preserve">Information sources </w:t>
            </w:r>
          </w:p>
        </w:tc>
        <w:tc>
          <w:tcPr>
            <w:tcW w:w="0" w:type="auto"/>
            <w:tcBorders>
              <w:top w:val="nil"/>
              <w:left w:val="nil"/>
              <w:bottom w:val="nil"/>
              <w:right w:val="nil"/>
            </w:tcBorders>
            <w:tcMar>
              <w:top w:w="0" w:type="dxa"/>
              <w:left w:w="62" w:type="dxa"/>
              <w:bottom w:w="0" w:type="dxa"/>
              <w:right w:w="62" w:type="dxa"/>
            </w:tcMar>
          </w:tcPr>
          <w:p w:rsidR="00000000" w:rsidRPr="00551261" w:rsidP="00551261">
            <w:pPr>
              <w:pStyle w:val="BodyText"/>
            </w:pPr>
            <w:r w:rsidRPr="00551261">
              <w:t>Information sources include one or more of:</w:t>
            </w:r>
          </w:p>
          <w:p w:rsidR="00000000" w:rsidRPr="00551261" w:rsidP="00551261">
            <w:pPr>
              <w:pStyle w:val="ListBullet"/>
            </w:pPr>
            <w:r w:rsidRPr="00551261">
              <w:t>personnel, such as scientists, engineers, technical experts, quality managers, laboratory and production personnel, and customers</w:t>
            </w:r>
          </w:p>
          <w:p w:rsidR="00000000" w:rsidRPr="00551261" w:rsidP="00551261">
            <w:pPr>
              <w:pStyle w:val="ListBullet"/>
            </w:pPr>
            <w:r w:rsidRPr="00551261">
              <w:t>online technical information systems, databases and CD-ROMs</w:t>
            </w:r>
          </w:p>
          <w:p w:rsidR="00000000" w:rsidRPr="00551261" w:rsidP="00551261">
            <w:pPr>
              <w:pStyle w:val="ListBullet"/>
            </w:pPr>
            <w:r w:rsidRPr="00551261">
              <w:t>organisational charts</w:t>
            </w:r>
            <w:r w:rsidRPr="00551261">
              <w:t xml:space="preserve"> and information directories for staff access (personnel and telephone)</w:t>
            </w:r>
          </w:p>
          <w:p w:rsidR="00000000" w:rsidP="00551261">
            <w:pPr>
              <w:pStyle w:val="BodyText"/>
              <w:rPr>
                <w:lang w:val="en-NZ"/>
              </w:rPr>
            </w:pPr>
          </w:p>
        </w:tc>
      </w:tr>
      <w:tr w:rsidTr="00544C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rPr>
                <w:rStyle w:val="SpecialBold"/>
              </w:rPr>
              <w:t>Customers</w:t>
            </w:r>
          </w:p>
        </w:tc>
        <w:tc>
          <w:tcPr>
            <w:tcW w:w="0" w:type="auto"/>
            <w:tcBorders>
              <w:top w:val="nil"/>
              <w:left w:val="nil"/>
              <w:bottom w:val="nil"/>
              <w:right w:val="nil"/>
            </w:tcBorders>
            <w:tcMar>
              <w:top w:w="0" w:type="dxa"/>
              <w:left w:w="62" w:type="dxa"/>
              <w:bottom w:w="0" w:type="dxa"/>
              <w:right w:w="62" w:type="dxa"/>
            </w:tcMar>
          </w:tcPr>
          <w:p w:rsidR="00000000" w:rsidRPr="00551261" w:rsidP="00551261">
            <w:pPr>
              <w:pStyle w:val="BodyText"/>
            </w:pPr>
            <w:r w:rsidRPr="00551261">
              <w:t xml:space="preserve">Customers include one or more of: </w:t>
            </w:r>
          </w:p>
          <w:p w:rsidR="00000000" w:rsidRPr="00551261" w:rsidP="00551261">
            <w:pPr>
              <w:pStyle w:val="ListBullet"/>
            </w:pPr>
            <w:r w:rsidRPr="00551261">
              <w:t>internal and external customers</w:t>
            </w:r>
          </w:p>
          <w:p w:rsidR="00000000" w:rsidRPr="00551261" w:rsidP="00551261">
            <w:pPr>
              <w:pStyle w:val="ListBullet"/>
            </w:pPr>
            <w:r w:rsidRPr="00551261">
              <w:t>members of the public</w:t>
            </w:r>
          </w:p>
          <w:p w:rsidR="00000000" w:rsidRPr="00551261" w:rsidP="00551261">
            <w:pPr>
              <w:pStyle w:val="ListBullet"/>
            </w:pPr>
            <w:r w:rsidRPr="00551261">
              <w:t>other workplaces, such as regulatory authorities</w:t>
            </w:r>
          </w:p>
          <w:p w:rsidR="00000000" w:rsidP="00551261">
            <w:pPr>
              <w:pStyle w:val="BodyText"/>
              <w:rPr>
                <w:lang w:val="en-NZ"/>
              </w:rPr>
            </w:pPr>
          </w:p>
        </w:tc>
      </w:tr>
      <w:tr w:rsidTr="00544C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rPr>
                <w:rStyle w:val="SpecialBold"/>
              </w:rPr>
              <w:t>Information provided</w:t>
            </w:r>
          </w:p>
        </w:tc>
        <w:tc>
          <w:tcPr>
            <w:tcW w:w="0" w:type="auto"/>
            <w:tcBorders>
              <w:top w:val="nil"/>
              <w:left w:val="nil"/>
              <w:bottom w:val="nil"/>
              <w:right w:val="nil"/>
            </w:tcBorders>
            <w:tcMar>
              <w:top w:w="0" w:type="dxa"/>
              <w:left w:w="62" w:type="dxa"/>
              <w:bottom w:w="0" w:type="dxa"/>
              <w:right w:w="62" w:type="dxa"/>
            </w:tcMar>
          </w:tcPr>
          <w:p w:rsidR="00000000" w:rsidRPr="00551261" w:rsidP="00551261">
            <w:pPr>
              <w:pStyle w:val="BodyText"/>
            </w:pPr>
            <w:r w:rsidRPr="00551261">
              <w:t>Information of a specialised technical nature includes one or more of:</w:t>
            </w:r>
          </w:p>
          <w:p w:rsidR="00000000" w:rsidRPr="00551261" w:rsidP="00551261">
            <w:pPr>
              <w:pStyle w:val="ListBullet"/>
            </w:pPr>
            <w:r w:rsidRPr="00551261">
              <w:t>material classification and characteristics</w:t>
            </w:r>
          </w:p>
          <w:p w:rsidR="00000000" w:rsidRPr="00551261" w:rsidP="00551261">
            <w:pPr>
              <w:pStyle w:val="ListBullet"/>
            </w:pPr>
            <w:r w:rsidRPr="00551261">
              <w:t>technical and/or manufacturing knowledge of procedures</w:t>
            </w:r>
          </w:p>
          <w:p w:rsidR="00000000" w:rsidRPr="00551261" w:rsidP="00551261">
            <w:pPr>
              <w:pStyle w:val="ListBullet"/>
            </w:pPr>
            <w:r w:rsidRPr="00551261">
              <w:t>analysis and/or test results and their interpretation where authority permits</w:t>
            </w:r>
          </w:p>
          <w:p w:rsidR="00000000" w:rsidRPr="00551261" w:rsidP="00551261">
            <w:pPr>
              <w:pStyle w:val="ListBullet"/>
            </w:pPr>
            <w:r w:rsidRPr="00551261">
              <w:t>risk as</w:t>
            </w:r>
            <w:r w:rsidRPr="00551261">
              <w:t>sessment, monitoring and minimisation</w:t>
            </w:r>
          </w:p>
          <w:p w:rsidR="00000000" w:rsidRPr="00551261" w:rsidP="00551261">
            <w:pPr>
              <w:pStyle w:val="ListBullet"/>
            </w:pPr>
            <w:r w:rsidRPr="00551261">
              <w:t>cost, quantity and time estimation</w:t>
            </w:r>
          </w:p>
          <w:p w:rsidR="00000000" w:rsidRPr="00551261" w:rsidP="00551261">
            <w:pPr>
              <w:pStyle w:val="ListBullet"/>
            </w:pPr>
            <w:r w:rsidRPr="00551261">
              <w:t>contractual variations and claims</w:t>
            </w:r>
          </w:p>
          <w:p w:rsidR="00000000" w:rsidRPr="00551261" w:rsidP="00551261">
            <w:pPr>
              <w:pStyle w:val="ListBullet"/>
            </w:pPr>
            <w:r w:rsidRPr="00551261">
              <w:t>site assessment and problems</w:t>
            </w:r>
          </w:p>
          <w:p w:rsidR="00000000" w:rsidRPr="00551261" w:rsidP="00551261">
            <w:pPr>
              <w:pStyle w:val="ListBullet"/>
            </w:pPr>
            <w:r w:rsidRPr="00551261">
              <w:t>data analysis and statistical interpretation</w:t>
            </w:r>
          </w:p>
          <w:p w:rsidR="00000000" w:rsidP="00551261">
            <w:pPr>
              <w:pStyle w:val="BodyText"/>
              <w:rPr>
                <w:lang w:val="en-NZ"/>
              </w:rPr>
            </w:pPr>
          </w:p>
        </w:tc>
      </w:tr>
      <w:tr w:rsidTr="00544C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rPr>
                <w:rStyle w:val="SpecialBold"/>
              </w:rPr>
              <w:t xml:space="preserve">Manufacturing and food processing sector variables </w:t>
            </w:r>
          </w:p>
        </w:tc>
        <w:tc>
          <w:tcPr>
            <w:tcW w:w="0" w:type="auto"/>
            <w:tcBorders>
              <w:top w:val="nil"/>
              <w:left w:val="nil"/>
              <w:bottom w:val="nil"/>
              <w:right w:val="nil"/>
            </w:tcBorders>
            <w:tcMar>
              <w:top w:w="0" w:type="dxa"/>
              <w:left w:w="62" w:type="dxa"/>
              <w:bottom w:w="0" w:type="dxa"/>
              <w:right w:w="62" w:type="dxa"/>
            </w:tcMar>
          </w:tcPr>
          <w:p w:rsidR="00000000" w:rsidRPr="00551261" w:rsidP="00551261">
            <w:pPr>
              <w:pStyle w:val="BodyText"/>
            </w:pPr>
            <w:r w:rsidRPr="00551261">
              <w:t>Manufacturing and food processing sector variables include:</w:t>
            </w:r>
          </w:p>
          <w:p w:rsidR="00000000" w:rsidRPr="00551261" w:rsidP="00551261">
            <w:pPr>
              <w:pStyle w:val="ListBullet"/>
            </w:pPr>
            <w:r w:rsidRPr="00551261">
              <w:t>assessing requests for changes to formulations and alterations to production processes</w:t>
            </w:r>
          </w:p>
          <w:p w:rsidR="00000000" w:rsidRPr="00551261" w:rsidP="00551261">
            <w:pPr>
              <w:pStyle w:val="ListBullet"/>
            </w:pPr>
            <w:r w:rsidRPr="00551261">
              <w:t>determining variations and their significance for compliance with relevant standards</w:t>
            </w:r>
          </w:p>
          <w:p w:rsidR="00000000" w:rsidP="00551261">
            <w:pPr>
              <w:pStyle w:val="BodyText"/>
              <w:rPr>
                <w:lang w:val="en-NZ"/>
              </w:rPr>
            </w:pPr>
          </w:p>
        </w:tc>
      </w:tr>
      <w:tr w:rsidTr="00544C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rPr>
                <w:rStyle w:val="SpecialBold"/>
              </w:rPr>
              <w:t>Biomedical and enviro</w:t>
            </w:r>
            <w:r w:rsidRPr="00551261">
              <w:rPr>
                <w:rStyle w:val="SpecialBold"/>
              </w:rPr>
              <w:t xml:space="preserve">nmental sector variables </w:t>
            </w:r>
          </w:p>
        </w:tc>
        <w:tc>
          <w:tcPr>
            <w:tcW w:w="0" w:type="auto"/>
            <w:tcBorders>
              <w:top w:val="nil"/>
              <w:left w:val="nil"/>
              <w:bottom w:val="nil"/>
              <w:right w:val="nil"/>
            </w:tcBorders>
            <w:tcMar>
              <w:top w:w="0" w:type="dxa"/>
              <w:left w:w="62" w:type="dxa"/>
              <w:bottom w:w="0" w:type="dxa"/>
              <w:right w:w="62" w:type="dxa"/>
            </w:tcMar>
          </w:tcPr>
          <w:p w:rsidR="00000000" w:rsidRPr="00551261" w:rsidP="00551261">
            <w:pPr>
              <w:pStyle w:val="BodyText"/>
            </w:pPr>
            <w:r w:rsidRPr="00551261">
              <w:t>Biomedical and environmental sector variables include:</w:t>
            </w:r>
          </w:p>
          <w:p w:rsidR="00000000" w:rsidRPr="00551261" w:rsidP="00551261">
            <w:pPr>
              <w:pStyle w:val="ListBullet"/>
            </w:pPr>
            <w:r w:rsidRPr="00551261">
              <w:t>providing responses to inquiries regarding sample collection and protocols from patients, doctors, nurses and environmental health officers, collection staff and/or couriers</w:t>
            </w:r>
          </w:p>
          <w:p w:rsidR="00000000" w:rsidP="00551261">
            <w:pPr>
              <w:pStyle w:val="BodyText"/>
              <w:rPr>
                <w:lang w:val="en-NZ"/>
              </w:rPr>
            </w:pPr>
          </w:p>
        </w:tc>
      </w:tr>
      <w:tr w:rsidTr="00544C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1261">
            <w:pPr>
              <w:pStyle w:val="BodyText"/>
              <w:rPr>
                <w:lang w:val="en-NZ"/>
              </w:rPr>
            </w:pPr>
            <w:r w:rsidRPr="00551261">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551261" w:rsidP="00551261">
            <w:pPr>
              <w:pStyle w:val="BodyText"/>
            </w:pPr>
            <w:r w:rsidRPr="00551261">
              <w:t>WHS and environmental management requirements include:</w:t>
            </w:r>
          </w:p>
          <w:p w:rsidR="00000000" w:rsidRPr="00551261" w:rsidP="00551261">
            <w:pPr>
              <w:pStyle w:val="BodyText"/>
            </w:pPr>
            <w:r w:rsidRPr="00551261">
              <w:rPr>
                <w:rStyle w:val="Symbols"/>
              </w:rPr>
              <w:t></w:t>
            </w:r>
            <w:r w:rsidRPr="00551261">
              <w:rPr>
                <w:rStyle w:val="Symbols"/>
              </w:rPr>
              <w:tab/>
            </w:r>
            <w:r w:rsidRPr="00551261">
              <w:t>complying with WHS and environmental management requirements at all times, which may be imposed through state/territory or federal legislation. These requirements must not be compromised at any time</w:t>
            </w:r>
          </w:p>
          <w:p w:rsidR="00000000" w:rsidRPr="00551261" w:rsidP="00551261">
            <w:pPr>
              <w:pStyle w:val="BodyText"/>
            </w:pPr>
            <w:r w:rsidRPr="00551261">
              <w:rPr>
                <w:rStyle w:val="Symbols"/>
              </w:rPr>
              <w:t></w:t>
            </w:r>
            <w:r w:rsidRPr="00551261">
              <w:rPr>
                <w:rStyle w:val="Symbols"/>
              </w:rPr>
              <w:tab/>
            </w:r>
            <w:r w:rsidRPr="00551261">
              <w:t>applying standard precautions relating to the potentially hazardous nature of samples</w:t>
            </w:r>
          </w:p>
          <w:p w:rsidR="00000000" w:rsidRPr="00551261" w:rsidP="00551261">
            <w:pPr>
              <w:pStyle w:val="ListBullet"/>
            </w:pPr>
            <w:r w:rsidRPr="00551261">
              <w:t>accessing and applying current industry understanding of infection control issued by the National Health and Medical Research Council (NHMRC) and State and Territory Dep</w:t>
            </w:r>
            <w:r w:rsidRPr="00551261">
              <w:t>artments of Health, where relevant</w:t>
            </w:r>
          </w:p>
        </w:tc>
      </w:tr>
    </w:tbl>
    <w:p w:rsidR="00000000" w:rsidRPr="00551261" w:rsidP="00551261">
      <w:pPr>
        <w:pStyle w:val="BodyText"/>
      </w:pPr>
    </w:p>
    <w:p w:rsidR="00000000" w:rsidRPr="00551261" w:rsidP="00551261">
      <w:pPr>
        <w:pStyle w:val="AllowPageBreak"/>
      </w:pPr>
    </w:p>
    <w:p w:rsidR="00000000" w:rsidRPr="00551261" w:rsidP="00551261">
      <w:pPr>
        <w:pStyle w:val="Heading1"/>
      </w:pPr>
      <w:bookmarkStart w:id="9" w:name="O_902485"/>
      <w:bookmarkEnd w:id="9"/>
      <w:r w:rsidRPr="00551261">
        <w:t>Unit Mapping Information</w:t>
      </w:r>
    </w:p>
    <w:p w:rsidR="00000000" w:rsidRPr="00551261" w:rsidP="00544C05">
      <w:pPr>
        <w:pStyle w:val="BodyText"/>
      </w:pPr>
      <w:r w:rsidRPr="00551261">
        <w:t>Release 1. Supersedes and is equivalent to MSL915001A Provide information to customers</w:t>
      </w:r>
    </w:p>
    <w:p w:rsidR="00000000" w:rsidRPr="00551261" w:rsidP="00551261">
      <w:pPr>
        <w:pStyle w:val="Heading1"/>
      </w:pPr>
      <w:bookmarkStart w:id="10" w:name="O_902478"/>
      <w:bookmarkEnd w:id="10"/>
      <w:r w:rsidRPr="00551261">
        <w:t>Links</w:t>
      </w:r>
    </w:p>
    <w:p w:rsidR="00000000" w:rsidRPr="00551261" w:rsidP="00544C05">
      <w:pPr>
        <w:pStyle w:val="BodyText"/>
      </w:pPr>
      <w:r w:rsidRPr="00551261">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F14AD3">
        <w:rPr>
          <w:rStyle w:val="Hyperlink"/>
        </w:rPr>
        <w:t>https://vetnet.gov.au/Pages/TrainingDocs.aspx?q=5c63a03b-4a6b-4ae5-9560-1e3c5f462baa</w:t>
      </w:r>
      <w:r>
        <w:fldChar w:fldCharType="end"/>
      </w:r>
    </w:p>
    <w:p w:rsidR="00000000" w:rsidRPr="00551261" w:rsidP="00544C05">
      <w:pPr>
        <w:pStyle w:val="BodyText"/>
        <w:sectPr w:rsidSect="00551261">
          <w:headerReference w:type="default" r:id="rId10"/>
          <w:footerReference w:type="default" r:id="rId11"/>
          <w:pgSz w:w="11908" w:h="16833"/>
          <w:pgMar w:top="1702" w:right="1418" w:bottom="1702" w:left="1418" w:header="992" w:footer="992" w:gutter="0"/>
          <w:cols w:space="720"/>
          <w:noEndnote/>
          <w:docGrid w:linePitch="299"/>
        </w:sectPr>
      </w:pPr>
    </w:p>
    <w:p w:rsidR="00000000" w:rsidRPr="00551261" w:rsidP="00551261">
      <w:pPr>
        <w:pStyle w:val="SuperHeading"/>
      </w:pPr>
      <w:r w:rsidRPr="00551261">
        <w:t>Assessment Requirements for MSL915001 Provide information to cu</w:t>
      </w:r>
      <w:r w:rsidRPr="00551261">
        <w:t>stomers</w:t>
      </w:r>
    </w:p>
    <w:p w:rsidR="00000000" w:rsidRPr="00551261" w:rsidP="00551261">
      <w:pPr>
        <w:pStyle w:val="Heading1"/>
      </w:pPr>
      <w:bookmarkStart w:id="11" w:name="O_902480"/>
      <w:bookmarkEnd w:id="11"/>
      <w:r w:rsidRPr="00551261">
        <w:t>Modification History</w:t>
      </w:r>
    </w:p>
    <w:p w:rsidR="00000000" w:rsidRPr="00551261" w:rsidP="00544C05">
      <w:pPr>
        <w:pStyle w:val="BodyText"/>
      </w:pPr>
      <w:r w:rsidRPr="00551261">
        <w:t>Release 1. Supersedes and is equivalent to MSL915001A Provide information to customers</w:t>
      </w:r>
    </w:p>
    <w:p w:rsidR="00000000" w:rsidRPr="00551261" w:rsidP="00551261">
      <w:pPr>
        <w:pStyle w:val="Heading1"/>
      </w:pPr>
      <w:bookmarkStart w:id="12" w:name="O_902483"/>
      <w:bookmarkEnd w:id="12"/>
      <w:r w:rsidRPr="00551261">
        <w:t>Performance Evidence</w:t>
      </w:r>
    </w:p>
    <w:p w:rsidR="00000000" w:rsidRPr="00551261" w:rsidP="00551261">
      <w:pPr>
        <w:pStyle w:val="ListBullet"/>
      </w:pPr>
      <w:r w:rsidRPr="00551261">
        <w:t>Evidence of competence in this unit must satisfy all of the requirements of the eleme</w:t>
      </w:r>
      <w:r w:rsidRPr="00551261">
        <w:t>nts and performance criteria, and include demonstration of:</w:t>
      </w:r>
    </w:p>
    <w:p w:rsidR="00000000" w:rsidRPr="00551261" w:rsidP="00551261">
      <w:pPr>
        <w:pStyle w:val="ListBullet"/>
      </w:pPr>
      <w:r w:rsidRPr="00551261">
        <w:t>responding to both internal and external inquiries of a specialised technical nature</w:t>
      </w:r>
    </w:p>
    <w:p w:rsidR="00000000" w:rsidRPr="00551261" w:rsidP="00551261">
      <w:pPr>
        <w:pStyle w:val="ListBullet"/>
      </w:pPr>
      <w:r w:rsidRPr="00551261">
        <w:t>correctly assessing and prioritising requests for information</w:t>
      </w:r>
    </w:p>
    <w:p w:rsidR="00000000" w:rsidRPr="00551261" w:rsidP="00551261">
      <w:pPr>
        <w:pStyle w:val="ListBullet"/>
      </w:pPr>
      <w:r w:rsidRPr="00551261">
        <w:t>gathering information and data, such as trend ana</w:t>
      </w:r>
      <w:r w:rsidRPr="00551261">
        <w:t xml:space="preserve">lysis </w:t>
      </w:r>
    </w:p>
    <w:p w:rsidR="00000000" w:rsidRPr="00551261" w:rsidP="00551261">
      <w:pPr>
        <w:pStyle w:val="ListBullet"/>
      </w:pPr>
      <w:r w:rsidRPr="00551261">
        <w:t>confirming the validity of results</w:t>
      </w:r>
    </w:p>
    <w:p w:rsidR="00000000" w:rsidRPr="00551261" w:rsidP="00551261">
      <w:pPr>
        <w:pStyle w:val="ListBullet"/>
      </w:pPr>
      <w:r w:rsidRPr="00551261">
        <w:t>providing authorised information that is accurate, relevant and in the required format</w:t>
      </w:r>
    </w:p>
    <w:p w:rsidR="00000000" w:rsidRPr="00551261" w:rsidP="00551261">
      <w:pPr>
        <w:pStyle w:val="ListBullet"/>
      </w:pPr>
      <w:r w:rsidRPr="00551261">
        <w:t>using technical terminology appropriate to the customer and avoiding jargon</w:t>
      </w:r>
    </w:p>
    <w:p w:rsidR="00000000" w:rsidRPr="00551261" w:rsidP="00551261">
      <w:pPr>
        <w:pStyle w:val="ListBullet"/>
      </w:pPr>
      <w:r w:rsidRPr="00551261">
        <w:t>communicating in an efficient and polite manner, ta</w:t>
      </w:r>
      <w:r w:rsidRPr="00551261">
        <w:t>king into account the needs of the customer</w:t>
      </w:r>
    </w:p>
    <w:p w:rsidR="00000000" w:rsidRPr="00551261" w:rsidP="00551261">
      <w:pPr>
        <w:pStyle w:val="ListBullet"/>
      </w:pPr>
      <w:r w:rsidRPr="00551261">
        <w:t xml:space="preserve">maintaining security and confidentiality of information </w:t>
      </w:r>
    </w:p>
    <w:p w:rsidR="00000000" w:rsidRPr="00551261" w:rsidP="00544C05">
      <w:pPr>
        <w:pStyle w:val="BodyText"/>
      </w:pPr>
      <w:r w:rsidRPr="00551261">
        <w:t>recording and filing records of the request and information provided as required by workplace procedures.</w:t>
      </w:r>
    </w:p>
    <w:p w:rsidR="00000000" w:rsidRPr="00551261" w:rsidP="00551261">
      <w:pPr>
        <w:pStyle w:val="Heading1"/>
      </w:pPr>
      <w:bookmarkStart w:id="13" w:name="O_902482"/>
      <w:bookmarkEnd w:id="13"/>
      <w:r w:rsidRPr="00551261">
        <w:t>Knowledge Evidence</w:t>
      </w:r>
    </w:p>
    <w:p w:rsidR="00000000" w:rsidRPr="00551261" w:rsidP="00544C05">
      <w:pPr>
        <w:pStyle w:val="BodyText"/>
      </w:pPr>
      <w:r w:rsidRPr="00551261">
        <w:t>Must provide evidence that demonstrates knowledge of:</w:t>
      </w:r>
    </w:p>
    <w:p w:rsidR="00000000" w:rsidRPr="00551261" w:rsidP="00551261">
      <w:pPr>
        <w:pStyle w:val="ListBullet"/>
      </w:pPr>
      <w:r w:rsidRPr="00551261">
        <w:t>workplace procedures relating to:</w:t>
      </w:r>
    </w:p>
    <w:p w:rsidR="00000000" w:rsidRPr="00551261" w:rsidP="00551261">
      <w:pPr>
        <w:pStyle w:val="ListBullet2"/>
      </w:pPr>
      <w:r w:rsidRPr="00551261">
        <w:t>customer service</w:t>
      </w:r>
    </w:p>
    <w:p w:rsidR="00000000" w:rsidRPr="00551261" w:rsidP="00551261">
      <w:pPr>
        <w:pStyle w:val="ListBullet2"/>
      </w:pPr>
      <w:r w:rsidRPr="00551261">
        <w:t>communication protocols, including security and confidentiality, cultural and social contexts</w:t>
      </w:r>
    </w:p>
    <w:p w:rsidR="00000000" w:rsidRPr="00551261" w:rsidP="00551261">
      <w:pPr>
        <w:pStyle w:val="ListBullet2"/>
      </w:pPr>
      <w:r w:rsidRPr="00551261">
        <w:t>work health and safety (WHS) and environmental regulati</w:t>
      </w:r>
      <w:r w:rsidRPr="00551261">
        <w:t>ons</w:t>
      </w:r>
    </w:p>
    <w:p w:rsidR="00000000" w:rsidRPr="00551261" w:rsidP="00551261">
      <w:pPr>
        <w:pStyle w:val="ListBullet"/>
      </w:pPr>
      <w:r w:rsidRPr="00551261">
        <w:t>workplace business goals and key performance indicators as a basis for dealing with customers</w:t>
      </w:r>
    </w:p>
    <w:p w:rsidR="00000000" w:rsidRPr="00551261" w:rsidP="00551261">
      <w:pPr>
        <w:pStyle w:val="ListBullet"/>
      </w:pPr>
      <w:r w:rsidRPr="00551261">
        <w:t>customer information about workplace products and services</w:t>
      </w:r>
    </w:p>
    <w:p w:rsidR="00000000" w:rsidRPr="00551261" w:rsidP="00551261">
      <w:pPr>
        <w:pStyle w:val="ListBullet"/>
      </w:pPr>
      <w:r w:rsidRPr="00551261">
        <w:t>technical details of methods, data and sample collection and key features of laboratory results.</w:t>
      </w:r>
    </w:p>
    <w:p w:rsidR="00000000" w:rsidRPr="00551261" w:rsidP="00551261">
      <w:pPr>
        <w:pStyle w:val="AllowPageBreak"/>
      </w:pPr>
    </w:p>
    <w:p w:rsidR="00000000" w:rsidRPr="00551261" w:rsidP="00551261">
      <w:pPr>
        <w:pStyle w:val="Heading1"/>
      </w:pPr>
      <w:bookmarkStart w:id="14" w:name="O_902481"/>
      <w:bookmarkEnd w:id="14"/>
      <w:r w:rsidRPr="00551261">
        <w:t>Assessment Conditions</w:t>
      </w:r>
    </w:p>
    <w:p w:rsidR="00000000" w:rsidRPr="00551261" w:rsidP="00551261">
      <w:pPr>
        <w:pStyle w:val="ListBullet"/>
      </w:pPr>
      <w:r w:rsidRPr="00551261">
        <w:t xml:space="preserve">Judgement of competence must be based on holistic assessment of the evidence. Assessment methods must confirm consistency of performance over time, rather than a single assessment event. </w:t>
      </w:r>
    </w:p>
    <w:p w:rsidR="00000000" w:rsidRPr="00551261" w:rsidP="00551261">
      <w:pPr>
        <w:pStyle w:val="ListBullet"/>
      </w:pPr>
      <w:r w:rsidRPr="00551261">
        <w:t>This unit of competency is to be assessed in the workplace or a simulated workplace environment. A simulated workplace environment must reflect realistic operational workplace conditions that cover all aspects of workplace performance, including the enviro</w:t>
      </w:r>
      <w:r w:rsidRPr="00551261">
        <w:t>nment, task skills, task management skills, contingency management skills and job role environment skills.</w:t>
      </w:r>
    </w:p>
    <w:p w:rsidR="00000000" w:rsidRPr="00551261" w:rsidP="00551261">
      <w:pPr>
        <w:pStyle w:val="ListBullet"/>
      </w:pPr>
      <w:r w:rsidRPr="00551261">
        <w:t xml:space="preserve">Foundation skills are integral to competent performance of the unit and should not be assessed separately. </w:t>
      </w:r>
    </w:p>
    <w:p w:rsidR="00000000" w:rsidRPr="00551261" w:rsidP="00551261">
      <w:pPr>
        <w:pStyle w:val="ListBullet"/>
      </w:pPr>
      <w:r w:rsidRPr="00551261">
        <w:t xml:space="preserve">Assessment processes and techniques must </w:t>
      </w:r>
      <w:r w:rsidRPr="00551261">
        <w:t>be appropriate to the language, literacy and numeracy requirements of the work being performed and the needs of the candidate.</w:t>
      </w:r>
    </w:p>
    <w:p w:rsidR="00000000" w:rsidRPr="00551261" w:rsidP="00551261">
      <w:pPr>
        <w:pStyle w:val="ListBullet"/>
      </w:pPr>
      <w:r w:rsidRPr="00551261">
        <w:t xml:space="preserve">Knowledge evidence may be collected concurrently with performance evidence or through an independent process, such as workbooks, </w:t>
      </w:r>
      <w:r w:rsidRPr="00551261">
        <w:t>written assessments or interviews (provided a record is kept in each case).</w:t>
      </w:r>
    </w:p>
    <w:p w:rsidR="00000000" w:rsidRPr="00551261" w:rsidP="00551261">
      <w:pPr>
        <w:pStyle w:val="ListBullet"/>
      </w:pPr>
      <w:r w:rsidRPr="00551261">
        <w:t xml:space="preserve">This unit of competency may be assessed with: </w:t>
      </w:r>
    </w:p>
    <w:p w:rsidR="00000000" w:rsidRPr="00551261" w:rsidP="00551261">
      <w:pPr>
        <w:pStyle w:val="ListBullet2"/>
      </w:pPr>
      <w:r w:rsidRPr="00551261">
        <w:t>MSL935003 Authorise the release of test results</w:t>
      </w:r>
    </w:p>
    <w:p w:rsidR="00000000" w:rsidRPr="00551261" w:rsidP="00551261">
      <w:pPr>
        <w:pStyle w:val="ListBullet"/>
      </w:pPr>
      <w:r w:rsidRPr="00551261">
        <w:t xml:space="preserve">Holistic assessment methods include: </w:t>
      </w:r>
    </w:p>
    <w:p w:rsidR="00000000" w:rsidRPr="00551261" w:rsidP="00551261">
      <w:pPr>
        <w:pStyle w:val="ListBullet2"/>
      </w:pPr>
      <w:r w:rsidRPr="00551261">
        <w:t>examination of written records of advice and</w:t>
      </w:r>
      <w:r w:rsidRPr="00551261">
        <w:t xml:space="preserve"> information provided by the candidate to a range of internal and external customers </w:t>
      </w:r>
    </w:p>
    <w:p w:rsidR="00000000" w:rsidRPr="00551261" w:rsidP="00551261">
      <w:pPr>
        <w:pStyle w:val="ListBullet2"/>
      </w:pPr>
      <w:r w:rsidRPr="00551261">
        <w:t>feedback from customers that information/advice provided by the candidate was accurate, timely and in an appropriate format</w:t>
      </w:r>
    </w:p>
    <w:p w:rsidR="00000000" w:rsidRPr="00551261" w:rsidP="00551261">
      <w:pPr>
        <w:pStyle w:val="ListBullet2"/>
      </w:pPr>
      <w:r w:rsidRPr="00551261">
        <w:t>feedback from supervisors that workplace proce</w:t>
      </w:r>
      <w:r w:rsidRPr="00551261">
        <w:t>dures for responding to requests for information are followed</w:t>
      </w:r>
    </w:p>
    <w:p w:rsidR="00000000" w:rsidRPr="00551261" w:rsidP="00551261">
      <w:pPr>
        <w:pStyle w:val="ListBullet"/>
      </w:pPr>
      <w:r w:rsidRPr="00551261">
        <w:t>Access is required to instruments, equipment, materials, workplace documentation, procedures and specifications associated with this unit, including, but not limited to:</w:t>
      </w:r>
    </w:p>
    <w:p w:rsidR="00000000" w:rsidRPr="00551261" w:rsidP="00551261">
      <w:pPr>
        <w:pStyle w:val="ListBullet2"/>
      </w:pPr>
      <w:r w:rsidRPr="00551261">
        <w:t>information directorie</w:t>
      </w:r>
      <w:r w:rsidRPr="00551261">
        <w:t>s and databases</w:t>
      </w:r>
    </w:p>
    <w:p w:rsidR="00000000" w:rsidRPr="00551261" w:rsidP="00551261">
      <w:pPr>
        <w:pStyle w:val="ListBullet2"/>
      </w:pPr>
      <w:r w:rsidRPr="00551261">
        <w:t xml:space="preserve">workplace documents </w:t>
      </w:r>
    </w:p>
    <w:p w:rsidR="00000000" w:rsidRPr="00551261" w:rsidP="00551261">
      <w:pPr>
        <w:pStyle w:val="ListBullet2"/>
      </w:pPr>
      <w:r w:rsidRPr="00551261">
        <w:t>information technology, including telephone and computer equipment, email and online information systems.</w:t>
      </w:r>
    </w:p>
    <w:p w:rsidR="00000000" w:rsidRPr="00551261" w:rsidP="00551261">
      <w:pPr>
        <w:pStyle w:val="ListBullet"/>
      </w:pPr>
      <w:r w:rsidRPr="00551261">
        <w:t xml:space="preserve">Assessors must satisfy the assessor competency requirements that are in place at the time of the assessment </w:t>
      </w:r>
      <w:r w:rsidRPr="00551261">
        <w:t xml:space="preserve">as set by the VET regulator.  </w:t>
      </w:r>
    </w:p>
    <w:p w:rsidR="00000000" w:rsidRPr="00551261" w:rsidP="00551261">
      <w:pPr>
        <w:pStyle w:val="ListBullet"/>
      </w:pPr>
      <w:r w:rsidRPr="00551261">
        <w:t>The assessor must demonstrate both technical competency and currency.</w:t>
      </w:r>
    </w:p>
    <w:p w:rsidR="00000000" w:rsidRPr="00551261" w:rsidP="00551261">
      <w:pPr>
        <w:pStyle w:val="ListBullet"/>
      </w:pPr>
      <w:r w:rsidRPr="00551261">
        <w:t>Technical competence can be demonstrated through:</w:t>
      </w:r>
    </w:p>
    <w:p w:rsidR="00000000" w:rsidRPr="00551261" w:rsidP="00551261">
      <w:pPr>
        <w:pStyle w:val="ListBullet2"/>
      </w:pPr>
      <w:r w:rsidRPr="00551261">
        <w:t>relevant VET or other qualification/Statement of Attainment AND/OR</w:t>
      </w:r>
    </w:p>
    <w:p w:rsidR="00000000" w:rsidRPr="00551261" w:rsidP="00551261">
      <w:pPr>
        <w:pStyle w:val="ListBullet2"/>
      </w:pPr>
      <w:r w:rsidRPr="00551261">
        <w:t>relevant workplace experience.</w:t>
      </w:r>
    </w:p>
    <w:p w:rsidR="00000000" w:rsidRPr="00551261" w:rsidP="00551261">
      <w:pPr>
        <w:pStyle w:val="ListBullet"/>
      </w:pPr>
      <w:r w:rsidRPr="00551261">
        <w:t>Curre</w:t>
      </w:r>
      <w:r w:rsidRPr="00551261">
        <w:t>ncy can be demonstrated through:</w:t>
      </w:r>
    </w:p>
    <w:p w:rsidR="00000000" w:rsidRPr="00551261" w:rsidP="00551261">
      <w:pPr>
        <w:pStyle w:val="ListBullet2"/>
      </w:pPr>
      <w:r w:rsidRPr="00551261">
        <w:t>performing the competency being assessed as part of current employment OR</w:t>
      </w:r>
    </w:p>
    <w:p w:rsidR="00000000" w:rsidRPr="00551261" w:rsidP="00551261">
      <w:pPr>
        <w:pStyle w:val="ListBullet2"/>
      </w:pPr>
      <w:r w:rsidRPr="00551261">
        <w:t>having consulted with a laboratory about performing the competency being assessed within the last twelve months.</w:t>
      </w:r>
    </w:p>
    <w:p w:rsidR="00000000" w:rsidRPr="00551261" w:rsidP="00551261">
      <w:pPr>
        <w:pStyle w:val="AllowPageBreak"/>
      </w:pPr>
    </w:p>
    <w:p w:rsidR="00000000" w:rsidRPr="00551261" w:rsidP="00551261">
      <w:pPr>
        <w:pStyle w:val="Heading1"/>
      </w:pPr>
      <w:bookmarkStart w:id="15" w:name="O_902479"/>
      <w:bookmarkEnd w:id="15"/>
      <w:r w:rsidRPr="00551261">
        <w:t>Links</w:t>
      </w:r>
    </w:p>
    <w:p w:rsidR="00000000" w:rsidRPr="00551261" w:rsidP="00544C05">
      <w:pPr>
        <w:pStyle w:val="BodyText"/>
      </w:pPr>
      <w:r w:rsidRPr="00551261">
        <w:t>Companion Vo</w:t>
      </w:r>
      <w:r w:rsidRPr="00551261">
        <w:t xml:space="preserve">lume implementation guides are found in VETNet - </w:t>
      </w:r>
      <w:r>
        <w:fldChar w:fldCharType="begin"/>
      </w:r>
      <w:r>
        <w:instrText xml:space="preserve"> HYPERLINK "https://vetnet.gov.au/Pages/TrainingDocs.aspx?q=5c63a03b-4a6b-4ae5-9560-1e3c5f462baa" </w:instrText>
      </w:r>
      <w:r>
        <w:fldChar w:fldCharType="separate"/>
      </w:r>
      <w:r w:rsidRPr="00F14AD3">
        <w:rPr>
          <w:rStyle w:val="Hyperlink"/>
        </w:rPr>
        <w:t>https://vetnet.gov.au/Pages/TrainingDocs.aspx?q=5c63a03b-4a6b-4ae5-9560-1e3c5f462baa</w:t>
      </w:r>
      <w:r>
        <w:fldChar w:fldCharType="end"/>
      </w:r>
    </w:p>
    <w:p w:rsidR="00000000" w:rsidRPr="00551261" w:rsidP="00551261"/>
    <w:sectPr w:rsidSect="005512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2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261" w:rsidRPr="00544C05" w:rsidP="00544C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2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C05" w:rsidP="005512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44C05" w:rsidP="005512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44C05" w:rsidP="005512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261" w:rsidP="00551261">
    <w:pPr>
      <w:pStyle w:val="Footer"/>
      <w:framePr w:wrap="around"/>
    </w:pPr>
    <w:r>
      <w:fldChar w:fldCharType="begin"/>
    </w:r>
    <w:r>
      <w:instrText xml:space="preserve"> DOCPROPERTY  Subject  \* MERGEFORMAT </w:instrText>
    </w:r>
    <w:r>
      <w:fldChar w:fldCharType="separate"/>
    </w:r>
    <w:r w:rsidR="00544C05">
      <w:t>Approved</w:t>
    </w:r>
    <w:r w:rsidR="00544C05">
      <w:fldChar w:fldCharType="end"/>
    </w:r>
    <w:r>
      <w:tab/>
      <w:t xml:space="preserve">Page </w:t>
    </w:r>
    <w:r>
      <w:fldChar w:fldCharType="begin"/>
    </w:r>
    <w:r>
      <w:instrText xml:space="preserve"> PAGE  \* Arabic  \* MERGEFORMAT </w:instrText>
    </w:r>
    <w:r>
      <w:fldChar w:fldCharType="separate"/>
    </w:r>
    <w:r w:rsidR="00544C0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4C05">
      <w:rPr>
        <w:noProof/>
      </w:rPr>
      <w:t>5</w:t>
    </w:r>
    <w:r>
      <w:rPr>
        <w:noProof/>
      </w:rPr>
      <w:fldChar w:fldCharType="end"/>
    </w:r>
  </w:p>
  <w:p w:rsidR="00551261" w:rsidP="00551261">
    <w:pPr>
      <w:pStyle w:val="Footer"/>
      <w:framePr w:wrap="around"/>
    </w:pPr>
    <w:r>
      <w:t xml:space="preserve">© Commonwealth of Australia, </w:t>
    </w:r>
    <w:r>
      <w:fldChar w:fldCharType="begin"/>
    </w:r>
    <w:r>
      <w:instrText xml:space="preserve"> DATE  \@ "yyyy"  \* MERGEFORMAT </w:instrText>
    </w:r>
    <w:r>
      <w:fldChar w:fldCharType="separate"/>
    </w:r>
    <w:r w:rsidR="00544C05">
      <w:rPr>
        <w:noProof/>
      </w:rPr>
      <w:t>2025</w:t>
    </w:r>
    <w:r>
      <w:fldChar w:fldCharType="end"/>
    </w:r>
    <w:r>
      <w:tab/>
    </w:r>
    <w:r>
      <w:fldChar w:fldCharType="begin"/>
    </w:r>
    <w:r>
      <w:instrText xml:space="preserve"> DOCPROPERTY  Author  \* MERGEFORMAT </w:instrText>
    </w:r>
    <w:r>
      <w:fldChar w:fldCharType="separate"/>
    </w:r>
    <w:r w:rsidR="00544C05">
      <w:t>Manufacturing Industry Skills Alliance</w:t>
    </w:r>
    <w:r w:rsidR="00544C05">
      <w:fldChar w:fldCharType="end"/>
    </w:r>
  </w:p>
  <w:p w:rsidR="00551261" w:rsidP="005512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2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C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1261" w:rsidRPr="00544C05" w:rsidP="00544C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2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C05" w:rsidRPr="002D2AF8" w:rsidP="00551261">
    <w:pPr>
      <w:pStyle w:val="Header"/>
      <w:framePr w:wrap="around"/>
    </w:pPr>
    <w:r>
      <w:fldChar w:fldCharType="begin"/>
    </w:r>
    <w:r>
      <w:instrText xml:space="preserve"> TITLE   \* MERGEFORMAT </w:instrText>
    </w:r>
    <w:r>
      <w:fldChar w:fldCharType="separate"/>
    </w:r>
    <w:r>
      <w:t>MSL915001 Provide information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4C05" w:rsidP="005512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261" w:rsidRPr="002D2AF8" w:rsidP="00551261">
    <w:pPr>
      <w:pStyle w:val="Header"/>
      <w:framePr w:wrap="around"/>
    </w:pPr>
    <w:r>
      <w:fldChar w:fldCharType="begin"/>
    </w:r>
    <w:r>
      <w:instrText xml:space="preserve"> TITLE   \* MERGEFORMAT </w:instrText>
    </w:r>
    <w:r>
      <w:fldChar w:fldCharType="separate"/>
    </w:r>
    <w:r w:rsidR="00544C05">
      <w:t>MSL915001 Provide information to customers</w:t>
    </w:r>
    <w:r w:rsidR="00544C05">
      <w:fldChar w:fldCharType="end"/>
    </w:r>
    <w:r>
      <w:tab/>
      <w:t xml:space="preserve">Date this document was generated: </w:t>
    </w:r>
    <w:r>
      <w:fldChar w:fldCharType="begin"/>
    </w:r>
    <w:r>
      <w:instrText xml:space="preserve"> CREATEDATE  \@ "d MMMM yyyy"  \* MERGEFORMAT </w:instrText>
    </w:r>
    <w:r>
      <w:fldChar w:fldCharType="separate"/>
    </w:r>
    <w:r w:rsidR="00544C05">
      <w:rPr>
        <w:noProof/>
      </w:rPr>
      <w:t>2 March 2025</w:t>
    </w:r>
    <w:r>
      <w:fldChar w:fldCharType="end"/>
    </w:r>
  </w:p>
  <w:p w:rsidR="00551261" w:rsidP="005512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A4A3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C263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C01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2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1261"/>
    <w:pPr>
      <w:spacing w:before="360" w:after="60"/>
      <w:outlineLvl w:val="0"/>
    </w:pPr>
    <w:rPr>
      <w:sz w:val="32"/>
    </w:rPr>
  </w:style>
  <w:style w:type="paragraph" w:styleId="Heading2">
    <w:name w:val="heading 2"/>
    <w:basedOn w:val="HeadingBase"/>
    <w:next w:val="BodyText"/>
    <w:link w:val="Heading2Char"/>
    <w:qFormat/>
    <w:rsid w:val="00551261"/>
    <w:pPr>
      <w:keepLines/>
      <w:spacing w:before="240" w:after="120"/>
      <w:outlineLvl w:val="1"/>
    </w:pPr>
    <w:rPr>
      <w:sz w:val="28"/>
      <w:szCs w:val="40"/>
    </w:rPr>
  </w:style>
  <w:style w:type="paragraph" w:styleId="Heading3">
    <w:name w:val="heading 3"/>
    <w:basedOn w:val="HeadingBase"/>
    <w:next w:val="BodyText"/>
    <w:link w:val="Heading3Char"/>
    <w:qFormat/>
    <w:rsid w:val="00551261"/>
    <w:pPr>
      <w:spacing w:before="180" w:after="120"/>
      <w:outlineLvl w:val="2"/>
    </w:pPr>
    <w:rPr>
      <w:spacing w:val="-10"/>
      <w:kern w:val="32"/>
    </w:rPr>
  </w:style>
  <w:style w:type="paragraph" w:styleId="Heading4">
    <w:name w:val="heading 4"/>
    <w:basedOn w:val="HeadingBase"/>
    <w:next w:val="BodyText"/>
    <w:link w:val="Heading4Char"/>
    <w:qFormat/>
    <w:rsid w:val="00551261"/>
    <w:pPr>
      <w:spacing w:before="160" w:after="120"/>
      <w:outlineLvl w:val="3"/>
    </w:pPr>
    <w:rPr>
      <w:sz w:val="22"/>
    </w:rPr>
  </w:style>
  <w:style w:type="paragraph" w:styleId="Heading5">
    <w:name w:val="heading 5"/>
    <w:basedOn w:val="HeadingBase"/>
    <w:next w:val="Normal"/>
    <w:link w:val="Heading5Char"/>
    <w:qFormat/>
    <w:rsid w:val="00551261"/>
    <w:pPr>
      <w:spacing w:before="80"/>
      <w:outlineLvl w:val="4"/>
    </w:pPr>
    <w:rPr>
      <w:color w:val="918585"/>
      <w:sz w:val="20"/>
    </w:rPr>
  </w:style>
  <w:style w:type="paragraph" w:styleId="Heading6">
    <w:name w:val="heading 6"/>
    <w:basedOn w:val="HeadingBase"/>
    <w:next w:val="Normal"/>
    <w:link w:val="Heading6Char"/>
    <w:qFormat/>
    <w:rsid w:val="00551261"/>
    <w:pPr>
      <w:spacing w:before="60"/>
      <w:outlineLvl w:val="5"/>
    </w:pPr>
    <w:rPr>
      <w:color w:val="918585"/>
      <w:sz w:val="20"/>
    </w:rPr>
  </w:style>
  <w:style w:type="paragraph" w:styleId="Heading7">
    <w:name w:val="heading 7"/>
    <w:basedOn w:val="Normal"/>
    <w:next w:val="Normal"/>
    <w:link w:val="Heading7Char"/>
    <w:qFormat/>
    <w:rsid w:val="00551261"/>
    <w:pPr>
      <w:ind w:left="720"/>
      <w:outlineLvl w:val="6"/>
    </w:pPr>
    <w:rPr>
      <w:i/>
    </w:rPr>
  </w:style>
  <w:style w:type="paragraph" w:styleId="Heading8">
    <w:name w:val="heading 8"/>
    <w:basedOn w:val="Normal"/>
    <w:next w:val="Normal"/>
    <w:link w:val="Heading8Char"/>
    <w:qFormat/>
    <w:rsid w:val="00551261"/>
    <w:pPr>
      <w:ind w:left="720"/>
      <w:outlineLvl w:val="7"/>
    </w:pPr>
    <w:rPr>
      <w:i/>
    </w:rPr>
  </w:style>
  <w:style w:type="paragraph" w:styleId="Heading9">
    <w:name w:val="heading 9"/>
    <w:basedOn w:val="Normal"/>
    <w:next w:val="Normal"/>
    <w:link w:val="Heading9Char"/>
    <w:qFormat/>
    <w:rsid w:val="00551261"/>
    <w:pPr>
      <w:ind w:left="720"/>
      <w:outlineLvl w:val="8"/>
    </w:pPr>
    <w:rPr>
      <w:i/>
    </w:rPr>
  </w:style>
  <w:style w:type="character" w:default="1" w:styleId="DefaultParagraphFont">
    <w:name w:val="Default Paragraph Font"/>
    <w:uiPriority w:val="1"/>
    <w:unhideWhenUsed/>
    <w:rsid w:val="005512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261"/>
  </w:style>
  <w:style w:type="character" w:customStyle="1" w:styleId="Heading1Char">
    <w:name w:val="Heading 1 Char"/>
    <w:basedOn w:val="DefaultParagraphFont"/>
    <w:link w:val="Heading1"/>
    <w:rsid w:val="00551261"/>
    <w:rPr>
      <w:rFonts w:ascii="Times New Roman" w:eastAsia="Times New Roman" w:hAnsi="Times New Roman" w:cs="Times New Roman"/>
      <w:b/>
      <w:sz w:val="32"/>
      <w:szCs w:val="20"/>
      <w:lang w:eastAsia="en-US"/>
    </w:rPr>
  </w:style>
  <w:style w:type="paragraph" w:styleId="BodyText">
    <w:name w:val="Body Text"/>
    <w:basedOn w:val="Normal"/>
    <w:link w:val="BodyTextChar"/>
    <w:rsid w:val="005512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1261"/>
    <w:rPr>
      <w:rFonts w:ascii="Times New Roman" w:eastAsia="Times New Roman" w:hAnsi="Times New Roman" w:cs="Times New Roman"/>
      <w:sz w:val="24"/>
      <w:lang w:eastAsia="en-US"/>
    </w:rPr>
  </w:style>
  <w:style w:type="paragraph" w:styleId="ListBullet">
    <w:name w:val="List Bullet"/>
    <w:basedOn w:val="List"/>
    <w:rsid w:val="00551261"/>
    <w:pPr>
      <w:numPr>
        <w:numId w:val="12"/>
      </w:numPr>
      <w:tabs>
        <w:tab w:val="clear" w:pos="340"/>
      </w:tabs>
      <w:spacing w:before="40" w:after="40"/>
    </w:pPr>
  </w:style>
  <w:style w:type="character" w:customStyle="1" w:styleId="SpecialBold">
    <w:name w:val="Special Bold"/>
    <w:basedOn w:val="DefaultParagraphFont"/>
    <w:rsid w:val="00551261"/>
    <w:rPr>
      <w:b/>
      <w:spacing w:val="0"/>
    </w:rPr>
  </w:style>
  <w:style w:type="paragraph" w:styleId="ListBullet2">
    <w:name w:val="List Bullet 2"/>
    <w:basedOn w:val="List2"/>
    <w:rsid w:val="00551261"/>
    <w:pPr>
      <w:numPr>
        <w:numId w:val="13"/>
      </w:numPr>
      <w:tabs>
        <w:tab w:val="clear" w:pos="680"/>
      </w:tabs>
    </w:pPr>
  </w:style>
  <w:style w:type="paragraph" w:customStyle="1" w:styleId="SuperHeading">
    <w:name w:val="SuperHeading"/>
    <w:basedOn w:val="Normal"/>
    <w:rsid w:val="00551261"/>
    <w:pPr>
      <w:spacing w:before="240" w:after="120"/>
      <w:outlineLvl w:val="0"/>
    </w:pPr>
    <w:rPr>
      <w:rFonts w:ascii="Times New Roman" w:hAnsi="Times New Roman"/>
      <w:b/>
      <w:sz w:val="32"/>
    </w:rPr>
  </w:style>
  <w:style w:type="paragraph" w:customStyle="1" w:styleId="AllowPageBreak">
    <w:name w:val="AllowPageBreak"/>
    <w:rsid w:val="005512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551261"/>
    <w:rPr>
      <w:rFonts w:ascii="Symbol" w:hAnsi="Symbol"/>
    </w:rPr>
  </w:style>
  <w:style w:type="character" w:customStyle="1" w:styleId="Heading2Char">
    <w:name w:val="Heading 2 Char"/>
    <w:basedOn w:val="DefaultParagraphFont"/>
    <w:link w:val="Heading2"/>
    <w:rsid w:val="005512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12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12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12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12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2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12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1261"/>
    <w:rPr>
      <w:rFonts w:ascii="Courier New" w:eastAsia="Times New Roman" w:hAnsi="Courier New" w:cs="Times New Roman"/>
      <w:i/>
      <w:szCs w:val="20"/>
      <w:lang w:eastAsia="en-US"/>
    </w:rPr>
  </w:style>
  <w:style w:type="paragraph" w:customStyle="1" w:styleId="HeadingBase">
    <w:name w:val="Heading Base"/>
    <w:rsid w:val="005512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261"/>
    <w:pPr>
      <w:tabs>
        <w:tab w:val="right" w:leader="dot" w:pos="9072"/>
      </w:tabs>
      <w:ind w:left="567"/>
    </w:pPr>
    <w:rPr>
      <w:szCs w:val="22"/>
    </w:rPr>
  </w:style>
  <w:style w:type="paragraph" w:customStyle="1" w:styleId="TOCBase">
    <w:name w:val="TOC Base"/>
    <w:rsid w:val="005512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261"/>
    <w:pPr>
      <w:tabs>
        <w:tab w:val="right" w:leader="dot" w:pos="9072"/>
      </w:tabs>
      <w:spacing w:before="40" w:after="40"/>
      <w:ind w:left="284"/>
    </w:pPr>
    <w:rPr>
      <w:rFonts w:ascii="Times New Roman" w:hAnsi="Times New Roman"/>
    </w:rPr>
  </w:style>
  <w:style w:type="paragraph" w:styleId="TOC1">
    <w:name w:val="toc 1"/>
    <w:basedOn w:val="TOCBase"/>
    <w:next w:val="Normal"/>
    <w:rsid w:val="005512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12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1261"/>
    <w:rPr>
      <w:rFonts w:ascii="Times New Roman" w:eastAsia="Times New Roman" w:hAnsi="Times New Roman" w:cs="Times New Roman"/>
      <w:sz w:val="16"/>
      <w:lang w:eastAsia="en-US"/>
    </w:rPr>
  </w:style>
  <w:style w:type="paragraph" w:styleId="Title">
    <w:name w:val="Title"/>
    <w:basedOn w:val="HeadingBase"/>
    <w:link w:val="TitleChar"/>
    <w:qFormat/>
    <w:rsid w:val="00551261"/>
    <w:pPr>
      <w:spacing w:before="5040"/>
      <w:jc w:val="center"/>
    </w:pPr>
    <w:rPr>
      <w:sz w:val="48"/>
      <w:szCs w:val="72"/>
      <w:lang w:val="en-US"/>
    </w:rPr>
  </w:style>
  <w:style w:type="character" w:customStyle="1" w:styleId="TitleChar">
    <w:name w:val="Title Char"/>
    <w:basedOn w:val="DefaultParagraphFont"/>
    <w:link w:val="Title"/>
    <w:rsid w:val="005512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261"/>
    <w:pPr>
      <w:tabs>
        <w:tab w:val="left" w:pos="3600"/>
        <w:tab w:val="left" w:pos="3958"/>
      </w:tabs>
    </w:pPr>
  </w:style>
  <w:style w:type="paragraph" w:styleId="List">
    <w:name w:val="List"/>
    <w:basedOn w:val="BodyText"/>
    <w:next w:val="BodyText"/>
    <w:rsid w:val="00551261"/>
    <w:pPr>
      <w:tabs>
        <w:tab w:val="left" w:pos="340"/>
      </w:tabs>
      <w:spacing w:before="60" w:after="60"/>
      <w:ind w:left="340" w:hanging="340"/>
    </w:pPr>
  </w:style>
  <w:style w:type="paragraph" w:customStyle="1" w:styleId="Note">
    <w:name w:val="Note"/>
    <w:basedOn w:val="BodyText"/>
    <w:rsid w:val="005512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1261"/>
    <w:pPr>
      <w:framePr w:wrap="auto" w:hAnchor="text" w:y="6049"/>
    </w:pPr>
    <w:rPr>
      <w:color w:val="000000"/>
      <w:sz w:val="40"/>
    </w:rPr>
  </w:style>
  <w:style w:type="paragraph" w:customStyle="1" w:styleId="TOCTitle">
    <w:name w:val="TOCTitle"/>
    <w:basedOn w:val="Heading1"/>
    <w:rsid w:val="00551261"/>
    <w:pPr>
      <w:spacing w:after="240"/>
      <w:jc w:val="center"/>
      <w:outlineLvl w:val="9"/>
    </w:pPr>
    <w:rPr>
      <w:caps/>
    </w:rPr>
  </w:style>
  <w:style w:type="paragraph" w:customStyle="1" w:styleId="Version">
    <w:name w:val="Version"/>
    <w:rsid w:val="005512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1261"/>
    <w:pPr>
      <w:keepNext w:val="0"/>
      <w:tabs>
        <w:tab w:val="right" w:pos="4176"/>
      </w:tabs>
      <w:ind w:left="198" w:hanging="198"/>
    </w:pPr>
    <w:rPr>
      <w:rFonts w:ascii="Garamond" w:hAnsi="Garamond"/>
    </w:rPr>
  </w:style>
  <w:style w:type="paragraph" w:styleId="IndexHeading">
    <w:name w:val="index heading"/>
    <w:basedOn w:val="Normal"/>
    <w:next w:val="Index1"/>
    <w:semiHidden/>
    <w:rsid w:val="00551261"/>
    <w:pPr>
      <w:spacing w:before="120" w:after="120"/>
    </w:pPr>
    <w:rPr>
      <w:rFonts w:ascii="Arial" w:hAnsi="Arial"/>
      <w:b/>
      <w:color w:val="918585"/>
      <w:sz w:val="24"/>
    </w:rPr>
  </w:style>
  <w:style w:type="paragraph" w:styleId="Header">
    <w:name w:val="header"/>
    <w:basedOn w:val="Normal"/>
    <w:link w:val="HeaderChar"/>
    <w:rsid w:val="005512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1261"/>
    <w:rPr>
      <w:rFonts w:ascii="Times New Roman" w:eastAsia="Times New Roman" w:hAnsi="Times New Roman" w:cs="Times New Roman"/>
      <w:sz w:val="16"/>
      <w:szCs w:val="20"/>
      <w:lang w:val="en-GB" w:eastAsia="en-US"/>
    </w:rPr>
  </w:style>
  <w:style w:type="paragraph" w:customStyle="1" w:styleId="Chapter">
    <w:name w:val="Chapter"/>
    <w:basedOn w:val="Normal"/>
    <w:rsid w:val="00551261"/>
    <w:pPr>
      <w:spacing w:before="240"/>
    </w:pPr>
    <w:rPr>
      <w:rFonts w:ascii="Times New Roman" w:hAnsi="Times New Roman"/>
      <w:smallCaps/>
      <w:spacing w:val="80"/>
      <w:sz w:val="28"/>
    </w:rPr>
  </w:style>
  <w:style w:type="paragraph" w:customStyle="1" w:styleId="InChapter">
    <w:name w:val="InChapter"/>
    <w:basedOn w:val="Heading3"/>
    <w:rsid w:val="00551261"/>
    <w:pPr>
      <w:spacing w:after="240"/>
      <w:outlineLvl w:val="9"/>
    </w:pPr>
    <w:rPr>
      <w:noProof/>
    </w:rPr>
  </w:style>
  <w:style w:type="paragraph" w:styleId="Index2">
    <w:name w:val="index 2"/>
    <w:basedOn w:val="Normal"/>
    <w:next w:val="Normal"/>
    <w:semiHidden/>
    <w:rsid w:val="00551261"/>
    <w:pPr>
      <w:tabs>
        <w:tab w:val="right" w:pos="4176"/>
      </w:tabs>
      <w:ind w:left="568" w:hanging="284"/>
    </w:pPr>
    <w:rPr>
      <w:rFonts w:ascii="Garamond" w:hAnsi="Garamond"/>
    </w:rPr>
  </w:style>
  <w:style w:type="paragraph" w:customStyle="1" w:styleId="Byline">
    <w:name w:val="Byline"/>
    <w:rsid w:val="005512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261"/>
    <w:pPr>
      <w:tabs>
        <w:tab w:val="clear" w:pos="3600"/>
        <w:tab w:val="clear" w:pos="3958"/>
      </w:tabs>
      <w:jc w:val="right"/>
    </w:pPr>
  </w:style>
  <w:style w:type="character" w:styleId="Emphasis">
    <w:name w:val="Emphasis"/>
    <w:basedOn w:val="DefaultParagraphFont"/>
    <w:qFormat/>
    <w:rsid w:val="00551261"/>
    <w:rPr>
      <w:i/>
    </w:rPr>
  </w:style>
  <w:style w:type="paragraph" w:styleId="Caption">
    <w:name w:val="caption"/>
    <w:basedOn w:val="BodyText"/>
    <w:next w:val="Normal"/>
    <w:qFormat/>
    <w:rsid w:val="00551261"/>
    <w:pPr>
      <w:framePr w:w="2268" w:hSpace="181" w:vSpace="181" w:wrap="around" w:vAnchor="text" w:hAnchor="page" w:x="1135" w:y="285" w:anchorLock="1"/>
    </w:pPr>
    <w:rPr>
      <w:i/>
    </w:rPr>
  </w:style>
  <w:style w:type="paragraph" w:customStyle="1" w:styleId="MiniTOCTitle">
    <w:name w:val="MiniTOCTitle"/>
    <w:basedOn w:val="Heading4"/>
    <w:rsid w:val="00551261"/>
    <w:pPr>
      <w:spacing w:before="240"/>
      <w:outlineLvl w:val="9"/>
    </w:pPr>
    <w:rPr>
      <w:noProof/>
      <w:sz w:val="24"/>
    </w:rPr>
  </w:style>
  <w:style w:type="paragraph" w:customStyle="1" w:styleId="MiniTOCItem">
    <w:name w:val="MiniTOCItem"/>
    <w:basedOn w:val="ListBullet"/>
    <w:rsid w:val="00551261"/>
    <w:pPr>
      <w:numPr>
        <w:numId w:val="0"/>
      </w:numPr>
      <w:tabs>
        <w:tab w:val="right" w:leader="dot" w:pos="6521"/>
      </w:tabs>
      <w:spacing w:before="0" w:after="0"/>
    </w:pPr>
  </w:style>
  <w:style w:type="paragraph" w:customStyle="1" w:styleId="TOFTitle">
    <w:name w:val="TOFTitle"/>
    <w:basedOn w:val="TOCTitle"/>
    <w:rsid w:val="00551261"/>
  </w:style>
  <w:style w:type="paragraph" w:styleId="TableofFigures">
    <w:name w:val="table of figures"/>
    <w:basedOn w:val="Normal"/>
    <w:next w:val="Normal"/>
    <w:semiHidden/>
    <w:rsid w:val="00551261"/>
    <w:pPr>
      <w:tabs>
        <w:tab w:val="right" w:leader="dot" w:pos="9072"/>
      </w:tabs>
      <w:ind w:left="970" w:hanging="403"/>
    </w:pPr>
    <w:rPr>
      <w:rFonts w:ascii="Times New Roman" w:hAnsi="Times New Roman"/>
      <w:b/>
    </w:rPr>
  </w:style>
  <w:style w:type="paragraph" w:styleId="ListNumber">
    <w:name w:val="List Number"/>
    <w:basedOn w:val="List"/>
    <w:rsid w:val="00551261"/>
    <w:pPr>
      <w:numPr>
        <w:numId w:val="15"/>
      </w:numPr>
      <w:tabs>
        <w:tab w:val="clear" w:pos="340"/>
      </w:tabs>
    </w:pPr>
  </w:style>
  <w:style w:type="character" w:customStyle="1" w:styleId="WingdingSymbols">
    <w:name w:val="Wingding Symbols"/>
    <w:rsid w:val="00551261"/>
    <w:rPr>
      <w:rFonts w:ascii="Wingdings" w:hAnsi="Wingdings"/>
    </w:rPr>
  </w:style>
  <w:style w:type="paragraph" w:customStyle="1" w:styleId="TableHeading">
    <w:name w:val="Table Heading"/>
    <w:basedOn w:val="HeadingBase"/>
    <w:rsid w:val="00551261"/>
    <w:pPr>
      <w:keepLines/>
      <w:pBdr>
        <w:bottom w:val="single" w:sz="6" w:space="1" w:color="918585"/>
      </w:pBdr>
      <w:spacing w:before="240"/>
    </w:pPr>
  </w:style>
  <w:style w:type="character" w:customStyle="1" w:styleId="HotSpot">
    <w:name w:val="HotSpot"/>
    <w:rsid w:val="00551261"/>
    <w:rPr>
      <w:color w:val="0033CC"/>
      <w:u w:val="none"/>
    </w:rPr>
  </w:style>
  <w:style w:type="paragraph" w:customStyle="1" w:styleId="BodyTextRight">
    <w:name w:val="Body Text Right"/>
    <w:basedOn w:val="BodyText"/>
    <w:rsid w:val="00551261"/>
    <w:pPr>
      <w:spacing w:before="0" w:after="0"/>
      <w:jc w:val="right"/>
    </w:pPr>
  </w:style>
  <w:style w:type="paragraph" w:styleId="Index3">
    <w:name w:val="index 3"/>
    <w:basedOn w:val="ListNumber2"/>
    <w:next w:val="Normal"/>
    <w:semiHidden/>
    <w:rsid w:val="00551261"/>
    <w:pPr>
      <w:numPr>
        <w:numId w:val="0"/>
      </w:numPr>
      <w:tabs>
        <w:tab w:val="right" w:leader="dot" w:pos="4176"/>
      </w:tabs>
    </w:pPr>
  </w:style>
  <w:style w:type="paragraph" w:styleId="ListNumber2">
    <w:name w:val="List Number 2"/>
    <w:basedOn w:val="List2"/>
    <w:rsid w:val="00551261"/>
    <w:pPr>
      <w:numPr>
        <w:numId w:val="10"/>
      </w:numPr>
      <w:tabs>
        <w:tab w:val="clear" w:pos="1060"/>
      </w:tabs>
    </w:pPr>
  </w:style>
  <w:style w:type="paragraph" w:customStyle="1" w:styleId="MarginNote">
    <w:name w:val="Margin Note"/>
    <w:basedOn w:val="BodyText"/>
    <w:rsid w:val="005512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2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12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1261"/>
    <w:rPr>
      <w:sz w:val="32"/>
    </w:rPr>
  </w:style>
  <w:style w:type="paragraph" w:customStyle="1" w:styleId="HeadingProcedure">
    <w:name w:val="Heading Procedure"/>
    <w:basedOn w:val="HeadingBase"/>
    <w:next w:val="Normal"/>
    <w:rsid w:val="00551261"/>
    <w:pPr>
      <w:tabs>
        <w:tab w:val="left" w:pos="0"/>
      </w:tabs>
      <w:spacing w:before="120" w:after="60"/>
    </w:pPr>
    <w:rPr>
      <w:i/>
      <w:color w:val="918585"/>
      <w:sz w:val="22"/>
    </w:rPr>
  </w:style>
  <w:style w:type="paragraph" w:customStyle="1" w:styleId="TableBodyText">
    <w:name w:val="Table Body Text"/>
    <w:basedOn w:val="BodyText"/>
    <w:rsid w:val="00551261"/>
    <w:pPr>
      <w:spacing w:before="60" w:after="60"/>
    </w:pPr>
  </w:style>
  <w:style w:type="paragraph" w:styleId="ListContinue">
    <w:name w:val="List Continue"/>
    <w:basedOn w:val="List"/>
    <w:rsid w:val="00551261"/>
    <w:pPr>
      <w:ind w:firstLine="0"/>
    </w:pPr>
  </w:style>
  <w:style w:type="paragraph" w:customStyle="1" w:styleId="ListNote">
    <w:name w:val="List Note"/>
    <w:basedOn w:val="List"/>
    <w:rsid w:val="00551261"/>
    <w:pPr>
      <w:pBdr>
        <w:top w:val="single" w:sz="6" w:space="2" w:color="918585"/>
        <w:bottom w:val="single" w:sz="6" w:space="2" w:color="918585"/>
      </w:pBdr>
      <w:tabs>
        <w:tab w:val="left" w:pos="1021"/>
      </w:tabs>
      <w:ind w:firstLine="0"/>
    </w:pPr>
  </w:style>
  <w:style w:type="paragraph" w:customStyle="1" w:styleId="Warning">
    <w:name w:val="Warning"/>
    <w:basedOn w:val="BodyText"/>
    <w:rsid w:val="00551261"/>
    <w:pPr>
      <w:shd w:val="clear" w:color="auto" w:fill="D9D9D9"/>
      <w:tabs>
        <w:tab w:val="left" w:pos="992"/>
      </w:tabs>
      <w:ind w:left="119" w:right="119"/>
    </w:pPr>
    <w:rPr>
      <w:sz w:val="20"/>
    </w:rPr>
  </w:style>
  <w:style w:type="paragraph" w:customStyle="1" w:styleId="MarginIcons">
    <w:name w:val="Margin Icons"/>
    <w:basedOn w:val="BodyText"/>
    <w:rsid w:val="005512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1261"/>
    <w:rPr>
      <w:rFonts w:ascii="Courier New" w:hAnsi="Courier New"/>
    </w:rPr>
  </w:style>
  <w:style w:type="paragraph" w:customStyle="1" w:styleId="NoteBullet">
    <w:name w:val="Note Bullet"/>
    <w:basedOn w:val="Note"/>
    <w:rsid w:val="00551261"/>
    <w:pPr>
      <w:tabs>
        <w:tab w:val="clear" w:pos="680"/>
      </w:tabs>
      <w:spacing w:before="60" w:after="60"/>
    </w:pPr>
  </w:style>
  <w:style w:type="paragraph" w:customStyle="1" w:styleId="SubHeading2">
    <w:name w:val="SubHeading2"/>
    <w:basedOn w:val="HeadingBase"/>
    <w:rsid w:val="00551261"/>
    <w:pPr>
      <w:spacing w:before="240" w:after="60"/>
    </w:pPr>
    <w:rPr>
      <w:sz w:val="20"/>
    </w:rPr>
  </w:style>
  <w:style w:type="paragraph" w:customStyle="1" w:styleId="SubHeading1">
    <w:name w:val="SubHeading1"/>
    <w:basedOn w:val="HeadingBase"/>
    <w:rsid w:val="00551261"/>
    <w:pPr>
      <w:spacing w:before="240" w:after="60"/>
    </w:pPr>
    <w:rPr>
      <w:color w:val="918585"/>
      <w:sz w:val="22"/>
    </w:rPr>
  </w:style>
  <w:style w:type="paragraph" w:customStyle="1" w:styleId="SideHeading">
    <w:name w:val="Side Heading"/>
    <w:basedOn w:val="HeadingBase"/>
    <w:rsid w:val="005512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261"/>
    <w:pPr>
      <w:tabs>
        <w:tab w:val="num" w:pos="360"/>
      </w:tabs>
    </w:pPr>
  </w:style>
  <w:style w:type="paragraph" w:styleId="PlainText">
    <w:name w:val="Plain Text"/>
    <w:basedOn w:val="Normal"/>
    <w:link w:val="PlainTextChar"/>
    <w:rsid w:val="00551261"/>
    <w:rPr>
      <w:sz w:val="20"/>
    </w:rPr>
  </w:style>
  <w:style w:type="character" w:customStyle="1" w:styleId="PlainTextChar">
    <w:name w:val="Plain Text Char"/>
    <w:basedOn w:val="DefaultParagraphFont"/>
    <w:link w:val="PlainText"/>
    <w:rsid w:val="00551261"/>
    <w:rPr>
      <w:rFonts w:ascii="Courier New" w:eastAsia="Times New Roman" w:hAnsi="Courier New" w:cs="Times New Roman"/>
      <w:sz w:val="20"/>
      <w:szCs w:val="20"/>
      <w:lang w:eastAsia="en-US"/>
    </w:rPr>
  </w:style>
  <w:style w:type="character" w:customStyle="1" w:styleId="MenuOption">
    <w:name w:val="Menu Option"/>
    <w:basedOn w:val="DefaultParagraphFont"/>
    <w:rsid w:val="00551261"/>
    <w:rPr>
      <w:b/>
      <w:smallCaps/>
    </w:rPr>
  </w:style>
  <w:style w:type="paragraph" w:customStyle="1" w:styleId="TableListNumber">
    <w:name w:val="Table List Number"/>
    <w:basedOn w:val="ListNumber"/>
    <w:rsid w:val="00551261"/>
    <w:pPr>
      <w:numPr>
        <w:numId w:val="0"/>
      </w:numPr>
    </w:pPr>
  </w:style>
  <w:style w:type="paragraph" w:styleId="TOC4">
    <w:name w:val="toc 4"/>
    <w:basedOn w:val="TOCBase"/>
    <w:next w:val="Normal"/>
    <w:semiHidden/>
    <w:rsid w:val="00551261"/>
    <w:pPr>
      <w:tabs>
        <w:tab w:val="right" w:leader="dot" w:pos="9071"/>
      </w:tabs>
      <w:ind w:left="1701"/>
    </w:pPr>
  </w:style>
  <w:style w:type="paragraph" w:customStyle="1" w:styleId="ListAlpha">
    <w:name w:val="List Alpha"/>
    <w:basedOn w:val="List"/>
    <w:rsid w:val="00551261"/>
    <w:pPr>
      <w:numPr>
        <w:numId w:val="9"/>
      </w:numPr>
    </w:pPr>
  </w:style>
  <w:style w:type="paragraph" w:customStyle="1" w:styleId="ListAlpha2">
    <w:name w:val="List Alpha 2"/>
    <w:basedOn w:val="List2"/>
    <w:rsid w:val="00551261"/>
    <w:pPr>
      <w:numPr>
        <w:numId w:val="8"/>
      </w:numPr>
    </w:pPr>
  </w:style>
  <w:style w:type="paragraph" w:styleId="List2">
    <w:name w:val="List 2"/>
    <w:basedOn w:val="BodyText"/>
    <w:rsid w:val="00551261"/>
    <w:pPr>
      <w:tabs>
        <w:tab w:val="left" w:pos="680"/>
      </w:tabs>
      <w:spacing w:before="60" w:after="60"/>
      <w:ind w:left="680" w:hanging="340"/>
    </w:pPr>
  </w:style>
  <w:style w:type="paragraph" w:styleId="List3">
    <w:name w:val="List 3"/>
    <w:basedOn w:val="BodyText"/>
    <w:rsid w:val="00551261"/>
    <w:pPr>
      <w:tabs>
        <w:tab w:val="left" w:pos="1021"/>
      </w:tabs>
      <w:spacing w:before="60" w:after="60"/>
      <w:ind w:left="1020" w:hanging="340"/>
    </w:pPr>
  </w:style>
  <w:style w:type="paragraph" w:styleId="List4">
    <w:name w:val="List 4"/>
    <w:basedOn w:val="BodyText"/>
    <w:rsid w:val="00551261"/>
    <w:pPr>
      <w:tabs>
        <w:tab w:val="left" w:pos="1361"/>
      </w:tabs>
      <w:spacing w:before="60" w:after="60"/>
      <w:ind w:left="1361" w:hanging="340"/>
    </w:pPr>
  </w:style>
  <w:style w:type="paragraph" w:styleId="List5">
    <w:name w:val="List 5"/>
    <w:basedOn w:val="BodyText"/>
    <w:rsid w:val="00551261"/>
    <w:pPr>
      <w:tabs>
        <w:tab w:val="left" w:pos="1701"/>
      </w:tabs>
      <w:spacing w:before="60" w:after="60"/>
      <w:ind w:left="1701" w:hanging="340"/>
    </w:pPr>
  </w:style>
  <w:style w:type="paragraph" w:styleId="ListBullet3">
    <w:name w:val="List Bullet 3"/>
    <w:basedOn w:val="List3"/>
    <w:rsid w:val="00551261"/>
    <w:pPr>
      <w:numPr>
        <w:numId w:val="14"/>
      </w:numPr>
      <w:tabs>
        <w:tab w:val="clear" w:pos="1021"/>
      </w:tabs>
      <w:ind w:left="1037" w:hanging="357"/>
    </w:pPr>
  </w:style>
  <w:style w:type="paragraph" w:styleId="ListBullet4">
    <w:name w:val="List Bullet 4"/>
    <w:basedOn w:val="List4"/>
    <w:rsid w:val="00551261"/>
    <w:pPr>
      <w:numPr>
        <w:numId w:val="3"/>
      </w:numPr>
      <w:tabs>
        <w:tab w:val="clear" w:pos="1361"/>
      </w:tabs>
    </w:pPr>
  </w:style>
  <w:style w:type="paragraph" w:styleId="ListBullet5">
    <w:name w:val="List Bullet 5"/>
    <w:basedOn w:val="List5"/>
    <w:rsid w:val="00551261"/>
    <w:pPr>
      <w:numPr>
        <w:numId w:val="4"/>
      </w:numPr>
    </w:pPr>
  </w:style>
  <w:style w:type="paragraph" w:styleId="ListContinue2">
    <w:name w:val="List Continue 2"/>
    <w:basedOn w:val="List2"/>
    <w:rsid w:val="00551261"/>
    <w:pPr>
      <w:ind w:firstLine="0"/>
    </w:pPr>
  </w:style>
  <w:style w:type="paragraph" w:styleId="ListContinue3">
    <w:name w:val="List Continue 3"/>
    <w:basedOn w:val="List3"/>
    <w:rsid w:val="00551261"/>
    <w:pPr>
      <w:ind w:left="1021" w:firstLine="0"/>
    </w:pPr>
  </w:style>
  <w:style w:type="paragraph" w:styleId="ListContinue4">
    <w:name w:val="List Continue 4"/>
    <w:basedOn w:val="List4"/>
    <w:rsid w:val="00551261"/>
    <w:pPr>
      <w:ind w:firstLine="0"/>
    </w:pPr>
  </w:style>
  <w:style w:type="paragraph" w:styleId="ListContinue5">
    <w:name w:val="List Continue 5"/>
    <w:basedOn w:val="List5"/>
    <w:rsid w:val="00551261"/>
    <w:pPr>
      <w:ind w:firstLine="0"/>
    </w:pPr>
  </w:style>
  <w:style w:type="paragraph" w:styleId="ListNumber3">
    <w:name w:val="List Number 3"/>
    <w:basedOn w:val="List3"/>
    <w:rsid w:val="00551261"/>
    <w:pPr>
      <w:numPr>
        <w:numId w:val="5"/>
      </w:numPr>
    </w:pPr>
  </w:style>
  <w:style w:type="paragraph" w:styleId="ListNumber4">
    <w:name w:val="List Number 4"/>
    <w:basedOn w:val="List4"/>
    <w:rsid w:val="00551261"/>
    <w:pPr>
      <w:numPr>
        <w:numId w:val="6"/>
      </w:numPr>
    </w:pPr>
  </w:style>
  <w:style w:type="paragraph" w:styleId="ListNumber5">
    <w:name w:val="List Number 5"/>
    <w:basedOn w:val="List5"/>
    <w:rsid w:val="00551261"/>
    <w:pPr>
      <w:numPr>
        <w:numId w:val="7"/>
      </w:numPr>
    </w:pPr>
  </w:style>
  <w:style w:type="paragraph" w:styleId="BlockText">
    <w:name w:val="Block Text"/>
    <w:basedOn w:val="Normal"/>
    <w:rsid w:val="00551261"/>
    <w:pPr>
      <w:spacing w:after="120"/>
      <w:ind w:left="1440" w:right="1440"/>
    </w:pPr>
  </w:style>
  <w:style w:type="character" w:customStyle="1" w:styleId="Subscript">
    <w:name w:val="Subscript"/>
    <w:basedOn w:val="DefaultParagraphFont"/>
    <w:rsid w:val="00551261"/>
    <w:rPr>
      <w:sz w:val="16"/>
      <w:vertAlign w:val="subscript"/>
    </w:rPr>
  </w:style>
  <w:style w:type="character" w:customStyle="1" w:styleId="Superscript">
    <w:name w:val="Superscript"/>
    <w:basedOn w:val="DefaultParagraphFont"/>
    <w:rsid w:val="00551261"/>
    <w:rPr>
      <w:sz w:val="16"/>
      <w:vertAlign w:val="superscript"/>
    </w:rPr>
  </w:style>
  <w:style w:type="character" w:customStyle="1" w:styleId="MenuOptions">
    <w:name w:val="Menu Options"/>
    <w:basedOn w:val="DefaultParagraphFont"/>
    <w:rsid w:val="00551261"/>
    <w:rPr>
      <w:rFonts w:ascii="Arial Narrow" w:hAnsi="Arial Narrow"/>
      <w:smallCaps/>
    </w:rPr>
  </w:style>
  <w:style w:type="character" w:customStyle="1" w:styleId="Buttons">
    <w:name w:val="Buttons"/>
    <w:basedOn w:val="DefaultParagraphFont"/>
    <w:rsid w:val="00551261"/>
    <w:rPr>
      <w:b/>
    </w:rPr>
  </w:style>
  <w:style w:type="character" w:customStyle="1" w:styleId="Underlined">
    <w:name w:val="Underlined"/>
    <w:basedOn w:val="DefaultParagraphFont"/>
    <w:rsid w:val="00551261"/>
    <w:rPr>
      <w:u w:val="single"/>
    </w:rPr>
  </w:style>
  <w:style w:type="paragraph" w:customStyle="1" w:styleId="TableBodyTextRight">
    <w:name w:val="Table Body Text Right"/>
    <w:basedOn w:val="TableBodyText"/>
    <w:rsid w:val="00551261"/>
    <w:pPr>
      <w:widowControl w:val="0"/>
      <w:autoSpaceDE w:val="0"/>
      <w:autoSpaceDN w:val="0"/>
      <w:adjustRightInd w:val="0"/>
      <w:jc w:val="right"/>
    </w:pPr>
    <w:rPr>
      <w:rFonts w:cs="Arial"/>
      <w:szCs w:val="18"/>
    </w:rPr>
  </w:style>
  <w:style w:type="paragraph" w:customStyle="1" w:styleId="CopyrightText">
    <w:name w:val="Copyright Text"/>
    <w:basedOn w:val="BodyText"/>
    <w:rsid w:val="00551261"/>
    <w:rPr>
      <w:sz w:val="18"/>
    </w:rPr>
  </w:style>
  <w:style w:type="paragraph" w:customStyle="1" w:styleId="BodySmallRight">
    <w:name w:val="Body Small Right"/>
    <w:basedOn w:val="BodyTextRight"/>
    <w:rsid w:val="00551261"/>
    <w:rPr>
      <w:sz w:val="18"/>
      <w:szCs w:val="18"/>
    </w:rPr>
  </w:style>
  <w:style w:type="paragraph" w:customStyle="1" w:styleId="MarginEdition">
    <w:name w:val="Margin Edition"/>
    <w:basedOn w:val="MarginNote"/>
    <w:rsid w:val="00551261"/>
    <w:pPr>
      <w:spacing w:before="0" w:after="0"/>
    </w:pPr>
    <w:rPr>
      <w:rFonts w:ascii="Times New Roman" w:hAnsi="Times New Roman"/>
      <w:color w:val="999999"/>
    </w:rPr>
  </w:style>
  <w:style w:type="paragraph" w:customStyle="1" w:styleId="Spacer">
    <w:name w:val="Spacer"/>
    <w:basedOn w:val="Normal"/>
    <w:rsid w:val="00551261"/>
    <w:rPr>
      <w:sz w:val="2"/>
      <w:szCs w:val="2"/>
    </w:rPr>
  </w:style>
  <w:style w:type="character" w:customStyle="1" w:styleId="Small">
    <w:name w:val="Small"/>
    <w:basedOn w:val="DefaultParagraphFont"/>
    <w:rsid w:val="00551261"/>
    <w:rPr>
      <w:sz w:val="16"/>
    </w:rPr>
  </w:style>
  <w:style w:type="paragraph" w:customStyle="1" w:styleId="WideTable">
    <w:name w:val="Wide Table"/>
    <w:basedOn w:val="Normal"/>
    <w:rsid w:val="00551261"/>
    <w:pPr>
      <w:ind w:left="-1418"/>
    </w:pPr>
    <w:rPr>
      <w:sz w:val="2"/>
      <w:szCs w:val="2"/>
    </w:rPr>
  </w:style>
  <w:style w:type="character" w:styleId="PageNumber">
    <w:name w:val="page number"/>
    <w:basedOn w:val="DefaultParagraphFont"/>
    <w:rsid w:val="00551261"/>
  </w:style>
  <w:style w:type="paragraph" w:styleId="Quote">
    <w:name w:val="Quote"/>
    <w:basedOn w:val="Heading1"/>
    <w:link w:val="QuoteChar"/>
    <w:qFormat/>
    <w:rsid w:val="00551261"/>
    <w:rPr>
      <w:b w:val="0"/>
      <w:sz w:val="72"/>
      <w:szCs w:val="72"/>
      <w:lang w:val="en-NZ"/>
    </w:rPr>
  </w:style>
  <w:style w:type="character" w:customStyle="1" w:styleId="QuoteChar">
    <w:name w:val="Quote Char"/>
    <w:basedOn w:val="DefaultParagraphFont"/>
    <w:link w:val="Quote"/>
    <w:rsid w:val="005512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261"/>
    <w:pPr>
      <w:pageBreakBefore/>
    </w:pPr>
  </w:style>
  <w:style w:type="paragraph" w:customStyle="1" w:styleId="Border">
    <w:name w:val="Border"/>
    <w:basedOn w:val="Normal"/>
    <w:qFormat/>
    <w:rsid w:val="005512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1261"/>
    <w:rPr>
      <w:b/>
      <w:bCs/>
      <w:i/>
      <w:iCs/>
      <w:color w:val="auto"/>
    </w:rPr>
  </w:style>
  <w:style w:type="paragraph" w:styleId="IntenseQuote">
    <w:name w:val="Intense Quote"/>
    <w:basedOn w:val="Normal"/>
    <w:next w:val="Normal"/>
    <w:link w:val="IntenseQuoteChar"/>
    <w:uiPriority w:val="30"/>
    <w:qFormat/>
    <w:rsid w:val="005512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12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1261"/>
    <w:rPr>
      <w:smallCaps/>
      <w:color w:val="auto"/>
      <w:u w:val="single"/>
    </w:rPr>
  </w:style>
  <w:style w:type="character" w:styleId="IntenseReference">
    <w:name w:val="Intense Reference"/>
    <w:basedOn w:val="DefaultParagraphFont"/>
    <w:uiPriority w:val="32"/>
    <w:qFormat/>
    <w:rsid w:val="00551261"/>
    <w:rPr>
      <w:b/>
      <w:bCs/>
      <w:smallCaps/>
      <w:color w:val="auto"/>
      <w:spacing w:val="5"/>
      <w:u w:val="single"/>
    </w:rPr>
  </w:style>
  <w:style w:type="paragraph" w:customStyle="1" w:styleId="2ColumnHeading">
    <w:name w:val="2Column Heading"/>
    <w:basedOn w:val="BodyText"/>
    <w:qFormat/>
    <w:rsid w:val="00551261"/>
    <w:pPr>
      <w:spacing w:after="60"/>
      <w:ind w:left="-2268"/>
    </w:pPr>
    <w:rPr>
      <w:b/>
    </w:rPr>
  </w:style>
  <w:style w:type="paragraph" w:customStyle="1" w:styleId="Heading1TOC">
    <w:name w:val="Heading1 TOC"/>
    <w:basedOn w:val="Normal"/>
    <w:qFormat/>
    <w:rsid w:val="00551261"/>
    <w:pPr>
      <w:spacing w:before="240" w:after="120"/>
    </w:pPr>
    <w:rPr>
      <w:rFonts w:ascii="Times New Roman" w:hAnsi="Times New Roman"/>
      <w:b/>
      <w:sz w:val="32"/>
    </w:rPr>
  </w:style>
  <w:style w:type="paragraph" w:customStyle="1" w:styleId="Heading2TOC">
    <w:name w:val="Heading2 TOC"/>
    <w:basedOn w:val="Normal"/>
    <w:qFormat/>
    <w:rsid w:val="00551261"/>
    <w:pPr>
      <w:spacing w:before="240" w:after="60"/>
    </w:pPr>
    <w:rPr>
      <w:rFonts w:ascii="Times New Roman" w:hAnsi="Times New Roman"/>
      <w:b/>
      <w:sz w:val="28"/>
    </w:rPr>
  </w:style>
  <w:style w:type="character" w:customStyle="1" w:styleId="Underline">
    <w:name w:val="Underline"/>
    <w:basedOn w:val="DefaultParagraphFont"/>
    <w:qFormat/>
    <w:rsid w:val="00551261"/>
    <w:rPr>
      <w:u w:val="single"/>
    </w:rPr>
  </w:style>
  <w:style w:type="character" w:customStyle="1" w:styleId="BoldandItalics">
    <w:name w:val="Bold and Italics"/>
    <w:qFormat/>
    <w:rsid w:val="00551261"/>
    <w:rPr>
      <w:b/>
      <w:i/>
      <w:u w:val="none"/>
    </w:rPr>
  </w:style>
  <w:style w:type="paragraph" w:styleId="BalloonText">
    <w:name w:val="Balloon Text"/>
    <w:basedOn w:val="Normal"/>
    <w:link w:val="BalloonTextChar"/>
    <w:rsid w:val="00551261"/>
    <w:rPr>
      <w:rFonts w:ascii="Tahoma" w:hAnsi="Tahoma" w:cs="Tahoma"/>
      <w:sz w:val="16"/>
      <w:szCs w:val="16"/>
    </w:rPr>
  </w:style>
  <w:style w:type="character" w:customStyle="1" w:styleId="BalloonTextChar">
    <w:name w:val="Balloon Text Char"/>
    <w:basedOn w:val="DefaultParagraphFont"/>
    <w:link w:val="BalloonText"/>
    <w:rsid w:val="005512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12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12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1261"/>
    <w:rPr>
      <w:b/>
      <w:color w:val="660033"/>
      <w:spacing w:val="0"/>
    </w:rPr>
  </w:style>
  <w:style w:type="paragraph" w:customStyle="1" w:styleId="Nameditemlist">
    <w:name w:val="Named item list"/>
    <w:basedOn w:val="BodyText"/>
    <w:qFormat/>
    <w:rsid w:val="00551261"/>
    <w:pPr>
      <w:tabs>
        <w:tab w:val="left" w:pos="2835"/>
      </w:tabs>
      <w:ind w:left="2835" w:hanging="2835"/>
    </w:pPr>
  </w:style>
  <w:style w:type="paragraph" w:customStyle="1" w:styleId="BodyTextnopadding">
    <w:name w:val="Body Text no padding"/>
    <w:basedOn w:val="BodyText"/>
    <w:qFormat/>
    <w:rsid w:val="00551261"/>
    <w:pPr>
      <w:spacing w:before="0" w:after="0"/>
    </w:pPr>
  </w:style>
  <w:style w:type="paragraph" w:customStyle="1" w:styleId="BodyTextBold">
    <w:name w:val="Body Text Bold"/>
    <w:basedOn w:val="BodyText"/>
    <w:qFormat/>
    <w:rsid w:val="00551261"/>
    <w:rPr>
      <w:b/>
    </w:rPr>
  </w:style>
  <w:style w:type="character" w:styleId="Hyperlink">
    <w:name w:val="Hyperlink"/>
    <w:basedOn w:val="DefaultParagraphFont"/>
    <w:uiPriority w:val="99"/>
    <w:unhideWhenUsed/>
    <w:rsid w:val="00544C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1532</Words>
  <Characters>10041</Characters>
  <Application>Microsoft Office Word</Application>
  <DocSecurity>0</DocSecurity>
  <Lines>323</Lines>
  <Paragraphs>189</Paragraphs>
  <ScaleCrop>false</ScaleCrop>
  <Company>Author-it Software Corporation Ltd.</Company>
  <LinksUpToDate>false</LinksUpToDate>
  <CharactersWithSpaces>11384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MSL915001 Provide information to customers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2025-03-02T02:45:00Z</dcterms:created>
  <dcterms:modified xsi:type="dcterms:W3CDTF">2025-03-02T02:45:00Z</dcterms:modified>
</cp:coreProperties>
</file>