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3834" w:rsidP="008738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MSL905004 Perform non-standard calibrations</w:t>
      </w:r>
      <w:r>
        <w:fldChar w:fldCharType="end"/>
      </w:r>
    </w:p>
    <w:p w:rsidR="00873834" w:rsidP="00873834">
      <w:pPr>
        <w:pStyle w:val="Version"/>
        <w:sectPr w:rsidSect="00DD34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34B7" w:rsidP="00DD34B7">
      <w:pPr>
        <w:pStyle w:val="SuperHeading"/>
      </w:pPr>
      <w:r w:rsidRPr="00DD34B7">
        <w:t>MSL905004 Perform non-standard calibrations</w:t>
      </w:r>
    </w:p>
    <w:p w:rsidR="00000000" w:rsidRPr="00DD34B7" w:rsidP="00DD34B7">
      <w:pPr>
        <w:pStyle w:val="Heading1"/>
      </w:pPr>
      <w:bookmarkStart w:id="1" w:name="O_985268"/>
      <w:bookmarkEnd w:id="1"/>
      <w:r w:rsidRPr="00DD34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346"/>
      </w:tblGrid>
      <w:tr w:rsidTr="00DD3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D34B7" w:rsidP="00DD34B7">
            <w:pPr>
              <w:pStyle w:val="BodyText"/>
            </w:pPr>
            <w:r w:rsidRPr="00DD34B7">
              <w:rPr>
                <w:rStyle w:val="SpecialBold"/>
              </w:rPr>
              <w:t>Release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rPr>
                <w:rStyle w:val="SpecialBold"/>
              </w:rPr>
              <w:t>Comments</w:t>
            </w:r>
          </w:p>
        </w:tc>
      </w:tr>
      <w:tr w:rsidTr="00DD3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Release 1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4B7" w:rsidP="00DD34B7">
            <w:pPr>
              <w:pStyle w:val="BodyText"/>
            </w:pPr>
            <w:r w:rsidRPr="00DD34B7">
              <w:t xml:space="preserve">This version was released in </w:t>
            </w:r>
            <w:r w:rsidRPr="00DD34B7">
              <w:rPr>
                <w:rStyle w:val="Emphasis"/>
              </w:rPr>
              <w:t>MSL Laboratory Operations Training Package Release 2.0.</w:t>
            </w:r>
          </w:p>
          <w:p w:rsidR="00000000" w:rsidRPr="00DD34B7" w:rsidP="00DD34B7">
            <w:pPr>
              <w:pStyle w:val="BodyText"/>
            </w:pPr>
            <w:r w:rsidRPr="00DD34B7">
              <w:t>Supersedes and equivalent to MSL905001 Perform non-standard calibrations. Foundation skills information added. Range of co</w:t>
            </w:r>
            <w:r w:rsidRPr="00DD34B7">
              <w:t>nditions removed. Assessment requirements amended. Equivalent outcome.</w:t>
            </w:r>
          </w:p>
        </w:tc>
      </w:tr>
    </w:tbl>
    <w:p w:rsidR="00000000" w:rsidRPr="00DD34B7" w:rsidP="00DD34B7">
      <w:pPr>
        <w:pStyle w:val="BodyText"/>
      </w:pPr>
    </w:p>
    <w:p w:rsidR="00000000" w:rsidRPr="00DD34B7" w:rsidP="00DD34B7">
      <w:pPr>
        <w:pStyle w:val="AllowPageBreak"/>
      </w:pPr>
    </w:p>
    <w:p w:rsidR="00000000" w:rsidRPr="00DD34B7" w:rsidP="00DD34B7">
      <w:pPr>
        <w:pStyle w:val="Heading1"/>
      </w:pPr>
      <w:bookmarkStart w:id="2" w:name="O_985274"/>
      <w:bookmarkEnd w:id="2"/>
      <w:r w:rsidRPr="00DD34B7">
        <w:t>Application</w:t>
      </w:r>
    </w:p>
    <w:p w:rsidR="00000000" w:rsidRPr="00DD34B7" w:rsidP="00873834">
      <w:pPr>
        <w:pStyle w:val="BodyText"/>
      </w:pPr>
      <w:r w:rsidRPr="00DD34B7">
        <w:t>This unit of competency describes the skills and knowledge to recognise non-conforming calibration work, research and select the most appropriate test met</w:t>
      </w:r>
      <w:r w:rsidRPr="00DD34B7">
        <w:t>hod or calibration procedure for a given measurement request, and then conduct the calibration. It also covers the ability to modify and revise existing procedures or substitute alternative instruments and measurement standards, when necessary.</w:t>
      </w:r>
    </w:p>
    <w:p w:rsidR="00000000" w:rsidRPr="00DD34B7" w:rsidP="00873834">
      <w:pPr>
        <w:pStyle w:val="BodyText"/>
      </w:pPr>
      <w:r w:rsidRPr="00DD34B7">
        <w:t>This unit a</w:t>
      </w:r>
      <w:r w:rsidRPr="00DD34B7">
        <w:t>pplies to calibration technicians/specialists who carry out calibrations in first, second and third party laboratories, and laboratories where testing and/or calibration forms part of inspection or product certification. They work with limited guidance and</w:t>
      </w:r>
      <w:r w:rsidRPr="00DD34B7">
        <w:t xml:space="preserve"> results of their work are checked by the laboratory manager, quality inspector or designated signatory. </w:t>
      </w:r>
    </w:p>
    <w:p w:rsidR="00000000" w:rsidRPr="00DD34B7" w:rsidP="00873834">
      <w:pPr>
        <w:pStyle w:val="BodyText"/>
      </w:pPr>
      <w:r w:rsidRPr="00DD34B7">
        <w:t>The unit requires personnel to use a wide variety of precision measuring equipment and standards and cope with deviations from the explicit procedural</w:t>
      </w:r>
      <w:r w:rsidRPr="00DD34B7">
        <w:t xml:space="preserve"> instructions detailed in standard procedures and work instructions. When deviations do occur, each case must be documented, technically justified, authorised and accepted by the client.</w:t>
      </w:r>
    </w:p>
    <w:p w:rsidR="00000000" w:rsidRPr="00DD34B7" w:rsidP="00873834">
      <w:pPr>
        <w:pStyle w:val="BodyText"/>
      </w:pPr>
      <w:r w:rsidRPr="00DD34B7">
        <w:t>No licensing or certification requirements exist at the time of publi</w:t>
      </w:r>
      <w:r w:rsidRPr="00DD34B7">
        <w:t>cation. However, regulations and/or external accreditation requirements for laboratory operations exist, so local requirements should be checked. Relevant legislation, industry standards and codes of practice within Australia must also be applied.</w:t>
      </w:r>
    </w:p>
    <w:p w:rsidR="00000000" w:rsidRPr="00DD34B7" w:rsidP="00DD34B7">
      <w:pPr>
        <w:pStyle w:val="Heading1"/>
      </w:pPr>
      <w:bookmarkStart w:id="3" w:name="O_985273"/>
      <w:bookmarkEnd w:id="3"/>
      <w:r w:rsidRPr="00DD34B7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8738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MSL904002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4B7" w:rsidP="00DD34B7">
            <w:pPr>
              <w:pStyle w:val="BodyText"/>
            </w:pPr>
            <w:r w:rsidRPr="00DD34B7">
              <w:t xml:space="preserve">Perform standard calibrations </w:t>
            </w:r>
          </w:p>
        </w:tc>
      </w:tr>
    </w:tbl>
    <w:p w:rsidR="00000000" w:rsidRPr="00DD34B7" w:rsidP="00DD34B7">
      <w:pPr>
        <w:pStyle w:val="BodyText"/>
      </w:pPr>
    </w:p>
    <w:p w:rsidR="00000000" w:rsidRPr="00DD34B7" w:rsidP="00DD34B7">
      <w:pPr>
        <w:pStyle w:val="AllowPageBreak"/>
      </w:pPr>
    </w:p>
    <w:p w:rsidR="00000000" w:rsidRPr="00DD34B7" w:rsidP="00DD34B7">
      <w:pPr>
        <w:pStyle w:val="Heading1"/>
      </w:pPr>
      <w:bookmarkStart w:id="4" w:name="O_985272"/>
      <w:bookmarkEnd w:id="4"/>
      <w:r w:rsidRPr="00DD34B7">
        <w:t>Competency Field</w:t>
      </w:r>
    </w:p>
    <w:p w:rsidR="00000000" w:rsidRPr="00DD34B7" w:rsidP="00873834">
      <w:pPr>
        <w:pStyle w:val="BodyText"/>
      </w:pPr>
      <w:r w:rsidRPr="00DD34B7">
        <w:t>Calibration</w:t>
      </w:r>
    </w:p>
    <w:p w:rsidR="00000000" w:rsidRPr="00DD34B7" w:rsidP="00DD34B7">
      <w:pPr>
        <w:pStyle w:val="Heading1"/>
      </w:pPr>
      <w:bookmarkStart w:id="5" w:name="O_985271"/>
      <w:bookmarkEnd w:id="5"/>
      <w:r w:rsidRPr="00DD34B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DD3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Performance criteria describe the perf</w:t>
            </w:r>
            <w:r w:rsidRPr="00DD34B7">
              <w:t>ormance needed to demonstrate achievement of the element.</w:t>
            </w:r>
          </w:p>
        </w:tc>
      </w:tr>
      <w:tr w:rsidTr="00DD3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4B7" w:rsidP="00DD34B7">
            <w:pPr>
              <w:pStyle w:val="BodyText"/>
            </w:pPr>
            <w:r w:rsidRPr="00DD34B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rPr>
                <w:rStyle w:val="SpecialBold"/>
              </w:rPr>
              <w:t>Select the appropriate calibration procedure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Identify non-conforming calibration tasks and requests and analyse their significance</w:t>
            </w:r>
          </w:p>
        </w:tc>
      </w:tr>
      <w:tr w:rsidTr="00DD3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Review the authorised proce</w:t>
            </w:r>
            <w:r w:rsidRPr="00DD34B7">
              <w:t>dure and establish whether it is appropriate for the test, as required</w:t>
            </w:r>
          </w:p>
        </w:tc>
      </w:tr>
      <w:tr w:rsidTr="00DD3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Research an alternative or adapt an existing procedure to satisfy the test specification requirements</w:t>
            </w:r>
          </w:p>
        </w:tc>
      </w:tr>
      <w:tr w:rsidTr="00DD3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Confirm that available resources meet all the requirements of the calibration procedure</w:t>
            </w:r>
          </w:p>
        </w:tc>
      </w:tr>
      <w:tr w:rsidTr="00DD3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Obtain authorisation prior to substituting equipment, changing or deviating from the specified procedure</w:t>
            </w:r>
          </w:p>
        </w:tc>
      </w:tr>
      <w:tr w:rsidTr="00DD3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Document and validate any authorised changes or d</w:t>
            </w:r>
            <w:r w:rsidRPr="00DD34B7">
              <w:t>eviations in accordance with workplace procedures</w:t>
            </w:r>
          </w:p>
        </w:tc>
      </w:tr>
      <w:tr w:rsidTr="00DD3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</w:p>
        </w:tc>
      </w:tr>
      <w:tr w:rsidTr="00DD3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4B7" w:rsidP="00DD34B7">
            <w:pPr>
              <w:pStyle w:val="BodyText"/>
            </w:pPr>
            <w:r w:rsidRPr="00DD34B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rPr>
                <w:rStyle w:val="SpecialBold"/>
              </w:rPr>
              <w:t>Prepare items for calibration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Identify hazards and use the appropriate personal protective equipment (PPE), safety equipment and procedures</w:t>
            </w:r>
          </w:p>
        </w:tc>
      </w:tr>
      <w:tr w:rsidTr="00DD3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 xml:space="preserve">Assemble and set up reference standards and associated equipment prior to testing </w:t>
            </w:r>
          </w:p>
        </w:tc>
      </w:tr>
      <w:tr w:rsidTr="00DD3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 xml:space="preserve">Verify performance of reference standards and measuring equipment prior to use and adjust or calibrate as necessary </w:t>
            </w:r>
          </w:p>
        </w:tc>
      </w:tr>
      <w:tr w:rsidTr="00DD3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 xml:space="preserve">Identify and minimise potential sources of measurement error </w:t>
            </w:r>
          </w:p>
        </w:tc>
      </w:tr>
      <w:tr w:rsidTr="00DD3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</w:p>
        </w:tc>
      </w:tr>
      <w:tr w:rsidTr="00DD3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4B7" w:rsidP="00DD34B7">
            <w:pPr>
              <w:pStyle w:val="BodyText"/>
            </w:pPr>
            <w:r w:rsidRPr="00DD34B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rPr>
                <w:rStyle w:val="SpecialBold"/>
              </w:rPr>
              <w:t>Perform calibration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Perform individual tests and document each step in the calibration procedure to ensure repeatability of measurement</w:t>
            </w:r>
          </w:p>
        </w:tc>
      </w:tr>
      <w:tr w:rsidTr="00DD3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Critically analyse readings to confirm they are the result of a valid measurement and record data as required (as-found or before adjustment)</w:t>
            </w:r>
          </w:p>
        </w:tc>
      </w:tr>
      <w:tr w:rsidTr="00DD3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 xml:space="preserve">Adjust device under test to bring readings within </w:t>
            </w:r>
            <w:r w:rsidRPr="00DD34B7">
              <w:t>tolerance and record results (as-left or after adjustment</w:t>
            </w:r>
            <w:r w:rsidRPr="00DD34B7">
              <w:t xml:space="preserve">) if required </w:t>
            </w:r>
          </w:p>
        </w:tc>
      </w:tr>
      <w:tr w:rsidTr="00DD3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Analyse resulting test data to detect trends or inconsistencies that would significantly affect the accuracy or validity of test results</w:t>
            </w:r>
          </w:p>
        </w:tc>
      </w:tr>
      <w:tr w:rsidTr="00DD3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Seek appropriate advice when result interpretation is outside authorised scope of approval</w:t>
            </w:r>
          </w:p>
        </w:tc>
      </w:tr>
      <w:tr w:rsidTr="00DD3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</w:p>
        </w:tc>
      </w:tr>
      <w:tr w:rsidTr="00DD3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4B7" w:rsidP="00DD34B7">
            <w:pPr>
              <w:pStyle w:val="BodyText"/>
            </w:pPr>
            <w:r w:rsidRPr="00DD34B7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rPr>
                <w:rStyle w:val="SpecialBold"/>
              </w:rPr>
              <w:t>Document results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 xml:space="preserve">Document compliance/non-compliance with requirements of test and/or specifications </w:t>
            </w:r>
          </w:p>
        </w:tc>
      </w:tr>
      <w:tr w:rsidTr="00DD3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Estimate and document uncertainty of measurement in accordance with workplace procedures</w:t>
            </w:r>
          </w:p>
        </w:tc>
      </w:tr>
      <w:tr w:rsidTr="00DD3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Record the results of each test/calibration accurately, unambiguously and objectively</w:t>
            </w:r>
          </w:p>
        </w:tc>
      </w:tr>
      <w:tr w:rsidTr="00DD3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Ensure confidentiality of workplace information in accordance with workplace procedures</w:t>
            </w:r>
          </w:p>
        </w:tc>
      </w:tr>
      <w:tr w:rsidTr="00DD3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</w:p>
        </w:tc>
      </w:tr>
      <w:tr w:rsidTr="00DD3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4B7" w:rsidP="00DD34B7">
            <w:pPr>
              <w:pStyle w:val="BodyText"/>
            </w:pPr>
            <w:r w:rsidRPr="00DD34B7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rPr>
                <w:rStyle w:val="SpecialBold"/>
              </w:rPr>
              <w:t>Finalise calibration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Prepare and issue a fina</w:t>
            </w:r>
            <w:r w:rsidRPr="00DD34B7">
              <w:t>l report for the job/item detailing testing carried out, statement of compliance and all other required information</w:t>
            </w:r>
          </w:p>
        </w:tc>
      </w:tr>
      <w:tr w:rsidTr="00DD3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 xml:space="preserve">Report any non-compliance and verify next course of action with supervisor </w:t>
            </w:r>
          </w:p>
        </w:tc>
      </w:tr>
      <w:tr w:rsidTr="00DD3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Attach calibration labels, equipment stickers, quality control tags and tamper resistant seals as required in workplace procedures</w:t>
            </w:r>
          </w:p>
        </w:tc>
      </w:tr>
      <w:tr w:rsidTr="00DD3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Report all changes and deviations that may have a significant influence on the test</w:t>
            </w:r>
          </w:p>
        </w:tc>
      </w:tr>
      <w:tr w:rsidTr="00DD3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B7">
            <w:pPr>
              <w:pStyle w:val="BodyText"/>
              <w:rPr>
                <w:lang w:val="en-NZ"/>
              </w:rPr>
            </w:pPr>
            <w:r w:rsidRPr="00DD34B7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4B7" w:rsidP="00DD34B7">
            <w:pPr>
              <w:pStyle w:val="BodyText"/>
            </w:pPr>
            <w:r w:rsidRPr="00DD34B7">
              <w:t>Store test equipment/measur</w:t>
            </w:r>
            <w:r w:rsidRPr="00DD34B7">
              <w:t>ement standards and results in accordance with workplace procedures</w:t>
            </w:r>
          </w:p>
        </w:tc>
      </w:tr>
    </w:tbl>
    <w:p w:rsidR="00000000" w:rsidRPr="00DD34B7" w:rsidP="00DD34B7">
      <w:pPr>
        <w:pStyle w:val="BodyText"/>
      </w:pPr>
    </w:p>
    <w:p w:rsidR="00000000" w:rsidRPr="00DD34B7" w:rsidP="00DD34B7">
      <w:pPr>
        <w:pStyle w:val="AllowPageBreak"/>
      </w:pPr>
    </w:p>
    <w:p w:rsidR="00000000" w:rsidRPr="00DD34B7" w:rsidP="00DD34B7">
      <w:pPr>
        <w:pStyle w:val="Heading1"/>
      </w:pPr>
      <w:bookmarkStart w:id="6" w:name="O_985270"/>
      <w:bookmarkEnd w:id="6"/>
      <w:r w:rsidRPr="00DD34B7">
        <w:t>Foundation Skills</w:t>
      </w:r>
    </w:p>
    <w:p w:rsidR="00000000" w:rsidRPr="00DD34B7" w:rsidP="00873834">
      <w:pPr>
        <w:pStyle w:val="BodyText"/>
      </w:pPr>
      <w:r w:rsidRPr="00DD34B7">
        <w:t>This section describes those language, literacy, numeracy and employment skills that are essential to performance.</w:t>
      </w:r>
    </w:p>
    <w:p w:rsidR="00000000" w:rsidRPr="00DD34B7" w:rsidP="00DD34B7">
      <w:pPr>
        <w:pStyle w:val="ListBullet"/>
      </w:pPr>
      <w:r w:rsidRPr="00DD34B7">
        <w:t>Oral communication skills to expla</w:t>
      </w:r>
      <w:r w:rsidRPr="00DD34B7">
        <w:t>in complex calibration procedures and clarify requirements and deviations</w:t>
      </w:r>
    </w:p>
    <w:p w:rsidR="00000000" w:rsidRPr="00DD34B7" w:rsidP="00DD34B7">
      <w:pPr>
        <w:pStyle w:val="ListBullet"/>
      </w:pPr>
      <w:r w:rsidRPr="00DD34B7">
        <w:t>Numeracy skills to:</w:t>
      </w:r>
    </w:p>
    <w:p w:rsidR="00000000" w:rsidRPr="00DD34B7" w:rsidP="00DD34B7">
      <w:pPr>
        <w:pStyle w:val="ListBullet2"/>
      </w:pPr>
      <w:r w:rsidRPr="00DD34B7">
        <w:t>use calculation procedures to give results in appropriate accuracy, precision and units</w:t>
      </w:r>
    </w:p>
    <w:p w:rsidR="00000000" w:rsidRPr="00DD34B7" w:rsidP="00DD34B7">
      <w:pPr>
        <w:pStyle w:val="ListBullet2"/>
      </w:pPr>
      <w:r w:rsidRPr="00DD34B7">
        <w:t>use methods for statistical analysis (means, ranges and standard deviations) and estimation of uncertainty of measurement (can use software).</w:t>
      </w:r>
    </w:p>
    <w:p w:rsidR="00000000" w:rsidRPr="00DD34B7" w:rsidP="00DD34B7">
      <w:pPr>
        <w:pStyle w:val="BodyText"/>
      </w:pPr>
    </w:p>
    <w:p w:rsidR="00000000" w:rsidRPr="00DD34B7" w:rsidP="00873834">
      <w:pPr>
        <w:pStyle w:val="BodyText"/>
      </w:pPr>
      <w:r w:rsidRPr="00DD34B7">
        <w:t>Other foundation skills essential to performance are explicit in the performance criteria of this unit.</w:t>
      </w:r>
    </w:p>
    <w:p w:rsidR="00000000" w:rsidRPr="00DD34B7" w:rsidP="00DD34B7">
      <w:pPr>
        <w:pStyle w:val="Heading1"/>
      </w:pPr>
      <w:bookmarkStart w:id="7" w:name="O_985269"/>
      <w:bookmarkEnd w:id="7"/>
      <w:r w:rsidRPr="00DD34B7">
        <w:t>Unit Mapping Information</w:t>
      </w:r>
    </w:p>
    <w:p w:rsidR="00000000" w:rsidRPr="00DD34B7" w:rsidP="00873834">
      <w:pPr>
        <w:pStyle w:val="BodyText"/>
      </w:pPr>
      <w:r w:rsidRPr="00DD34B7">
        <w:t>Equivalent to MSL905001 Perform non-standard calibrations, Release 1.</w:t>
      </w:r>
    </w:p>
    <w:p w:rsidR="00000000" w:rsidRPr="00DD34B7" w:rsidP="00DD34B7">
      <w:pPr>
        <w:pStyle w:val="Heading1"/>
      </w:pPr>
      <w:bookmarkStart w:id="8" w:name="O_985262"/>
      <w:bookmarkEnd w:id="8"/>
      <w:r w:rsidRPr="00DD34B7">
        <w:t>Links</w:t>
      </w:r>
    </w:p>
    <w:p w:rsidR="00000000" w:rsidRPr="00DD34B7" w:rsidP="00873834">
      <w:pPr>
        <w:pStyle w:val="BodyText"/>
      </w:pPr>
      <w:r w:rsidRPr="00DD34B7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7A5114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DD34B7" w:rsidP="00DD34B7"/>
    <w:sectPr w:rsidSect="00DD34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4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4B7" w:rsidRPr="00873834" w:rsidP="008738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4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834" w:rsidP="00DD34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3834" w:rsidP="00DD34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73834" w:rsidP="00DD34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4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8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34B7" w:rsidRPr="00873834" w:rsidP="008738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4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834" w:rsidRPr="002D2AF8" w:rsidP="00DD34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MSL905004 Perform non-standard calibrations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873834" w:rsidP="00DD34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A681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A0A6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BEF4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4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34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34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34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34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34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34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34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34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34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34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34B7"/>
  </w:style>
  <w:style w:type="character" w:customStyle="1" w:styleId="Heading1Char">
    <w:name w:val="Heading 1 Char"/>
    <w:basedOn w:val="DefaultParagraphFont"/>
    <w:link w:val="Heading1"/>
    <w:rsid w:val="00DD34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34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34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34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34B7"/>
    <w:rPr>
      <w:b/>
      <w:spacing w:val="0"/>
    </w:rPr>
  </w:style>
  <w:style w:type="paragraph" w:styleId="ListBullet2">
    <w:name w:val="List Bullet 2"/>
    <w:basedOn w:val="List2"/>
    <w:rsid w:val="00DD34B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D34B7"/>
    <w:rPr>
      <w:i/>
    </w:rPr>
  </w:style>
  <w:style w:type="paragraph" w:customStyle="1" w:styleId="SuperHeading">
    <w:name w:val="SuperHeading"/>
    <w:basedOn w:val="Normal"/>
    <w:rsid w:val="00DD34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34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34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34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34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34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34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34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34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34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34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34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34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34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34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34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34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34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34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34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34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34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34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34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34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34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34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34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34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34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34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34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34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34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34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34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34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34B7"/>
  </w:style>
  <w:style w:type="paragraph" w:styleId="TableofFigures">
    <w:name w:val="table of figures"/>
    <w:basedOn w:val="Normal"/>
    <w:next w:val="Normal"/>
    <w:semiHidden/>
    <w:rsid w:val="00DD34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34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34B7"/>
    <w:rPr>
      <w:rFonts w:ascii="Wingdings" w:hAnsi="Wingdings"/>
    </w:rPr>
  </w:style>
  <w:style w:type="paragraph" w:customStyle="1" w:styleId="TableHeading">
    <w:name w:val="Table Heading"/>
    <w:basedOn w:val="HeadingBase"/>
    <w:rsid w:val="00DD34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34B7"/>
    <w:rPr>
      <w:color w:val="0033CC"/>
      <w:u w:val="none"/>
    </w:rPr>
  </w:style>
  <w:style w:type="paragraph" w:customStyle="1" w:styleId="BodyTextRight">
    <w:name w:val="Body Text Right"/>
    <w:basedOn w:val="BodyText"/>
    <w:rsid w:val="00DD34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34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34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34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34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34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34B7"/>
    <w:rPr>
      <w:sz w:val="32"/>
    </w:rPr>
  </w:style>
  <w:style w:type="paragraph" w:customStyle="1" w:styleId="HeadingProcedure">
    <w:name w:val="Heading Procedure"/>
    <w:basedOn w:val="HeadingBase"/>
    <w:next w:val="Normal"/>
    <w:rsid w:val="00DD34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34B7"/>
    <w:pPr>
      <w:spacing w:before="60" w:after="60"/>
    </w:pPr>
  </w:style>
  <w:style w:type="paragraph" w:styleId="ListContinue">
    <w:name w:val="List Continue"/>
    <w:basedOn w:val="List"/>
    <w:rsid w:val="00DD34B7"/>
    <w:pPr>
      <w:ind w:firstLine="0"/>
    </w:pPr>
  </w:style>
  <w:style w:type="paragraph" w:customStyle="1" w:styleId="ListNote">
    <w:name w:val="List Note"/>
    <w:basedOn w:val="List"/>
    <w:rsid w:val="00DD34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34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34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34B7"/>
    <w:rPr>
      <w:rFonts w:ascii="Courier New" w:hAnsi="Courier New"/>
    </w:rPr>
  </w:style>
  <w:style w:type="paragraph" w:customStyle="1" w:styleId="NoteBullet">
    <w:name w:val="Note Bullet"/>
    <w:basedOn w:val="Note"/>
    <w:rsid w:val="00DD34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34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34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34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34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34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34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34B7"/>
    <w:rPr>
      <w:b/>
      <w:smallCaps/>
    </w:rPr>
  </w:style>
  <w:style w:type="paragraph" w:customStyle="1" w:styleId="TableListNumber">
    <w:name w:val="Table List Number"/>
    <w:basedOn w:val="ListNumber"/>
    <w:rsid w:val="00DD34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34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34B7"/>
    <w:pPr>
      <w:numPr>
        <w:numId w:val="9"/>
      </w:numPr>
    </w:pPr>
  </w:style>
  <w:style w:type="paragraph" w:customStyle="1" w:styleId="ListAlpha2">
    <w:name w:val="List Alpha 2"/>
    <w:basedOn w:val="List2"/>
    <w:rsid w:val="00DD34B7"/>
    <w:pPr>
      <w:numPr>
        <w:numId w:val="8"/>
      </w:numPr>
    </w:pPr>
  </w:style>
  <w:style w:type="paragraph" w:styleId="List2">
    <w:name w:val="List 2"/>
    <w:basedOn w:val="BodyText"/>
    <w:rsid w:val="00DD34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34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34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34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34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34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34B7"/>
    <w:pPr>
      <w:numPr>
        <w:numId w:val="4"/>
      </w:numPr>
    </w:pPr>
  </w:style>
  <w:style w:type="paragraph" w:styleId="ListContinue2">
    <w:name w:val="List Continue 2"/>
    <w:basedOn w:val="List2"/>
    <w:rsid w:val="00DD34B7"/>
    <w:pPr>
      <w:ind w:firstLine="0"/>
    </w:pPr>
  </w:style>
  <w:style w:type="paragraph" w:styleId="ListContinue3">
    <w:name w:val="List Continue 3"/>
    <w:basedOn w:val="List3"/>
    <w:rsid w:val="00DD34B7"/>
    <w:pPr>
      <w:ind w:left="1021" w:firstLine="0"/>
    </w:pPr>
  </w:style>
  <w:style w:type="paragraph" w:styleId="ListContinue4">
    <w:name w:val="List Continue 4"/>
    <w:basedOn w:val="List4"/>
    <w:rsid w:val="00DD34B7"/>
    <w:pPr>
      <w:ind w:firstLine="0"/>
    </w:pPr>
  </w:style>
  <w:style w:type="paragraph" w:styleId="ListContinue5">
    <w:name w:val="List Continue 5"/>
    <w:basedOn w:val="List5"/>
    <w:rsid w:val="00DD34B7"/>
    <w:pPr>
      <w:ind w:firstLine="0"/>
    </w:pPr>
  </w:style>
  <w:style w:type="paragraph" w:styleId="ListNumber3">
    <w:name w:val="List Number 3"/>
    <w:basedOn w:val="List3"/>
    <w:rsid w:val="00DD34B7"/>
    <w:pPr>
      <w:numPr>
        <w:numId w:val="5"/>
      </w:numPr>
    </w:pPr>
  </w:style>
  <w:style w:type="paragraph" w:styleId="ListNumber4">
    <w:name w:val="List Number 4"/>
    <w:basedOn w:val="List4"/>
    <w:rsid w:val="00DD34B7"/>
    <w:pPr>
      <w:numPr>
        <w:numId w:val="6"/>
      </w:numPr>
    </w:pPr>
  </w:style>
  <w:style w:type="paragraph" w:styleId="ListNumber5">
    <w:name w:val="List Number 5"/>
    <w:basedOn w:val="List5"/>
    <w:rsid w:val="00DD34B7"/>
    <w:pPr>
      <w:numPr>
        <w:numId w:val="7"/>
      </w:numPr>
    </w:pPr>
  </w:style>
  <w:style w:type="paragraph" w:styleId="BlockText">
    <w:name w:val="Block Text"/>
    <w:basedOn w:val="Normal"/>
    <w:rsid w:val="00DD34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34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34B7"/>
    <w:rPr>
      <w:sz w:val="16"/>
      <w:vertAlign w:val="superscript"/>
    </w:rPr>
  </w:style>
  <w:style w:type="character" w:customStyle="1" w:styleId="Symbols">
    <w:name w:val="Symbols"/>
    <w:basedOn w:val="DefaultParagraphFont"/>
    <w:rsid w:val="00DD34B7"/>
    <w:rPr>
      <w:rFonts w:ascii="Symbol" w:hAnsi="Symbol"/>
    </w:rPr>
  </w:style>
  <w:style w:type="character" w:customStyle="1" w:styleId="MenuOptions">
    <w:name w:val="Menu Options"/>
    <w:basedOn w:val="DefaultParagraphFont"/>
    <w:rsid w:val="00DD34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34B7"/>
    <w:rPr>
      <w:b/>
    </w:rPr>
  </w:style>
  <w:style w:type="character" w:customStyle="1" w:styleId="Underlined">
    <w:name w:val="Underlined"/>
    <w:basedOn w:val="DefaultParagraphFont"/>
    <w:rsid w:val="00DD34B7"/>
    <w:rPr>
      <w:u w:val="single"/>
    </w:rPr>
  </w:style>
  <w:style w:type="paragraph" w:customStyle="1" w:styleId="TableBodyTextRight">
    <w:name w:val="Table Body Text Right"/>
    <w:basedOn w:val="TableBodyText"/>
    <w:rsid w:val="00DD34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34B7"/>
    <w:rPr>
      <w:sz w:val="18"/>
    </w:rPr>
  </w:style>
  <w:style w:type="paragraph" w:customStyle="1" w:styleId="BodySmallRight">
    <w:name w:val="Body Small Right"/>
    <w:basedOn w:val="BodyTextRight"/>
    <w:rsid w:val="00DD34B7"/>
    <w:rPr>
      <w:sz w:val="18"/>
      <w:szCs w:val="18"/>
    </w:rPr>
  </w:style>
  <w:style w:type="paragraph" w:customStyle="1" w:styleId="MarginEdition">
    <w:name w:val="Margin Edition"/>
    <w:basedOn w:val="MarginNote"/>
    <w:rsid w:val="00DD34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34B7"/>
    <w:rPr>
      <w:sz w:val="2"/>
      <w:szCs w:val="2"/>
    </w:rPr>
  </w:style>
  <w:style w:type="character" w:customStyle="1" w:styleId="Small">
    <w:name w:val="Small"/>
    <w:basedOn w:val="DefaultParagraphFont"/>
    <w:rsid w:val="00DD34B7"/>
    <w:rPr>
      <w:sz w:val="16"/>
    </w:rPr>
  </w:style>
  <w:style w:type="paragraph" w:customStyle="1" w:styleId="WideTable">
    <w:name w:val="Wide Table"/>
    <w:basedOn w:val="Normal"/>
    <w:rsid w:val="00DD34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34B7"/>
  </w:style>
  <w:style w:type="paragraph" w:styleId="Quote">
    <w:name w:val="Quote"/>
    <w:basedOn w:val="Heading1"/>
    <w:link w:val="QuoteChar"/>
    <w:qFormat/>
    <w:rsid w:val="00DD34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34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34B7"/>
    <w:pPr>
      <w:pageBreakBefore/>
    </w:pPr>
  </w:style>
  <w:style w:type="paragraph" w:customStyle="1" w:styleId="Border">
    <w:name w:val="Border"/>
    <w:basedOn w:val="Normal"/>
    <w:qFormat/>
    <w:rsid w:val="00DD34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34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4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4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34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34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34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34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34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34B7"/>
    <w:rPr>
      <w:u w:val="single"/>
    </w:rPr>
  </w:style>
  <w:style w:type="character" w:customStyle="1" w:styleId="BoldandItalics">
    <w:name w:val="Bold and Italics"/>
    <w:qFormat/>
    <w:rsid w:val="00DD34B7"/>
    <w:rPr>
      <w:b/>
      <w:i/>
      <w:u w:val="none"/>
    </w:rPr>
  </w:style>
  <w:style w:type="paragraph" w:styleId="BalloonText">
    <w:name w:val="Balloon Text"/>
    <w:basedOn w:val="Normal"/>
    <w:link w:val="BalloonTextChar"/>
    <w:rsid w:val="00DD34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34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34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34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34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34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34B7"/>
    <w:pPr>
      <w:spacing w:before="0" w:after="0"/>
    </w:pPr>
  </w:style>
  <w:style w:type="paragraph" w:customStyle="1" w:styleId="BodyTextBold">
    <w:name w:val="Body Text Bold"/>
    <w:basedOn w:val="BodyText"/>
    <w:qFormat/>
    <w:rsid w:val="00DD34B7"/>
    <w:rPr>
      <w:b/>
    </w:rPr>
  </w:style>
  <w:style w:type="character" w:styleId="Hyperlink">
    <w:name w:val="Hyperlink"/>
    <w:basedOn w:val="DefaultParagraphFont"/>
    <w:uiPriority w:val="99"/>
    <w:unhideWhenUsed/>
    <w:rsid w:val="008738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786</Words>
  <Characters>5132</Characters>
  <Application>Microsoft Office Word</Application>
  <DocSecurity>0</DocSecurity>
  <Lines>223</Lines>
  <Paragraphs>109</Paragraphs>
  <ScaleCrop>false</ScaleCrop>
  <Company>Author-it Software Corporation Ltd.</Company>
  <LinksUpToDate>false</LinksUpToDate>
  <CharactersWithSpaces>5809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MSL905004 Perform non-standard calibrations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2022-12-19T23:52:00Z</dcterms:created>
  <dcterms:modified xsi:type="dcterms:W3CDTF">2022-12-19T23:52:00Z</dcterms:modified>
</cp:coreProperties>
</file>