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49E" w:rsidP="003E6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MSL905004 Perform non-standard calibrations</w:t>
      </w:r>
      <w:r>
        <w:fldChar w:fldCharType="end"/>
      </w:r>
    </w:p>
    <w:p w:rsidR="003E649E" w:rsidP="003E649E">
      <w:pPr>
        <w:pStyle w:val="Version"/>
        <w:sectPr w:rsidSect="00FB4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B16" w:rsidP="00FB4B16">
      <w:pPr>
        <w:pStyle w:val="SuperHeading"/>
      </w:pPr>
      <w:r w:rsidRPr="00FB4B16">
        <w:t>MSL905004 Perform non-standard calibrations</w:t>
      </w:r>
    </w:p>
    <w:p w:rsidR="00000000" w:rsidRPr="00FB4B16" w:rsidP="00FB4B16">
      <w:pPr>
        <w:pStyle w:val="Heading1"/>
      </w:pPr>
      <w:bookmarkStart w:id="1" w:name="O_985268"/>
      <w:bookmarkEnd w:id="1"/>
      <w:r w:rsidRPr="00FB4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346"/>
      </w:tblGrid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4B16" w:rsidP="00FB4B16">
            <w:pPr>
              <w:pStyle w:val="BodyText"/>
            </w:pPr>
            <w:r w:rsidRPr="00FB4B16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Comments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 xml:space="preserve">This version was released in </w:t>
            </w:r>
            <w:r w:rsidRPr="00FB4B16">
              <w:rPr>
                <w:rStyle w:val="Emphasis"/>
              </w:rPr>
              <w:t>MSL Laboratory Operations Training Package Release 2.0.</w:t>
            </w:r>
          </w:p>
          <w:p w:rsidR="00000000" w:rsidRPr="00FB4B16" w:rsidP="00FB4B16">
            <w:pPr>
              <w:pStyle w:val="BodyText"/>
            </w:pPr>
            <w:r w:rsidRPr="00FB4B16">
              <w:t>Supersedes and equivalent to MSL905001 Perform non-standard calibrations. Foundation skills information added. Range of co</w:t>
            </w:r>
            <w:r w:rsidRPr="00FB4B16">
              <w:t>nditions removed. Assessment requirements amended. Equivalent outcome.</w:t>
            </w:r>
          </w:p>
        </w:tc>
      </w:tr>
    </w:tbl>
    <w:p w:rsidR="00000000" w:rsidRPr="00FB4B16" w:rsidP="00FB4B16">
      <w:pPr>
        <w:pStyle w:val="BodyText"/>
      </w:pP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2" w:name="O_985274"/>
      <w:bookmarkEnd w:id="2"/>
      <w:r w:rsidRPr="00FB4B16">
        <w:t>Application</w:t>
      </w:r>
    </w:p>
    <w:p w:rsidR="00000000" w:rsidRPr="00FB4B16" w:rsidP="003E649E">
      <w:pPr>
        <w:pStyle w:val="BodyText"/>
      </w:pPr>
      <w:r w:rsidRPr="00FB4B16">
        <w:t>This unit of competency describes the skills and knowledge to recognise non-conforming calibration work, research and select the most appropriate test met</w:t>
      </w:r>
      <w:r w:rsidRPr="00FB4B16">
        <w:t>hod or calibration procedure for a given measurement request, and then conduct the calibration. It also covers the ability to modify and revise existing procedures or substitute alternative instruments and measurement standards, when necessary.</w:t>
      </w:r>
    </w:p>
    <w:p w:rsidR="00000000" w:rsidRPr="00FB4B16" w:rsidP="003E649E">
      <w:pPr>
        <w:pStyle w:val="BodyText"/>
      </w:pPr>
      <w:r w:rsidRPr="00FB4B16">
        <w:t>This unit a</w:t>
      </w:r>
      <w:r w:rsidRPr="00FB4B16">
        <w:t>pplies to calibration technicians/specialists who carry out calibrations in first, second and third party laboratories, and laboratories where testing and/or calibration forms part of inspection or product certification. They work with limited guidance and</w:t>
      </w:r>
      <w:r w:rsidRPr="00FB4B16">
        <w:t xml:space="preserve"> results of their work are checked by the laboratory manager, quality inspector or designated signatory. </w:t>
      </w:r>
    </w:p>
    <w:p w:rsidR="00000000" w:rsidRPr="00FB4B16" w:rsidP="003E649E">
      <w:pPr>
        <w:pStyle w:val="BodyText"/>
      </w:pPr>
      <w:r w:rsidRPr="00FB4B16">
        <w:t>The unit requires personnel to use a wide variety of precision measuring equipment and standards and cope with deviations from the explicit procedural</w:t>
      </w:r>
      <w:r w:rsidRPr="00FB4B16">
        <w:t xml:space="preserve"> instructions detailed in standard procedures and work instructions. When deviations do occur, each case must be documented, technically justified, authorised and accepted by the client.</w:t>
      </w:r>
    </w:p>
    <w:p w:rsidR="00000000" w:rsidRPr="00FB4B16" w:rsidP="003E649E">
      <w:pPr>
        <w:pStyle w:val="BodyText"/>
      </w:pPr>
      <w:r w:rsidRPr="00FB4B16">
        <w:t>No licensing or certification requirements exist at the time of publi</w:t>
      </w:r>
      <w:r w:rsidRPr="00FB4B16">
        <w:t>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FB4B16" w:rsidP="00FB4B16">
      <w:pPr>
        <w:pStyle w:val="Heading1"/>
      </w:pPr>
      <w:bookmarkStart w:id="3" w:name="O_985273"/>
      <w:bookmarkEnd w:id="3"/>
      <w:r w:rsidRPr="00FB4B16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E6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MSL904002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 xml:space="preserve">Perform standard calibrations </w:t>
            </w:r>
          </w:p>
        </w:tc>
      </w:tr>
    </w:tbl>
    <w:p w:rsidR="00000000" w:rsidRPr="00FB4B16" w:rsidP="00FB4B16">
      <w:pPr>
        <w:pStyle w:val="BodyText"/>
      </w:pP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4" w:name="O_985272"/>
      <w:bookmarkEnd w:id="4"/>
      <w:r w:rsidRPr="00FB4B16">
        <w:t>Competency Field</w:t>
      </w:r>
    </w:p>
    <w:p w:rsidR="00000000" w:rsidRPr="00FB4B16" w:rsidP="003E649E">
      <w:pPr>
        <w:pStyle w:val="BodyText"/>
      </w:pPr>
      <w:r w:rsidRPr="00FB4B16">
        <w:t>Calibration</w:t>
      </w:r>
    </w:p>
    <w:p w:rsidR="00000000" w:rsidRPr="00FB4B16" w:rsidP="00FB4B16">
      <w:pPr>
        <w:pStyle w:val="Heading1"/>
      </w:pPr>
      <w:bookmarkStart w:id="5" w:name="O_985271"/>
      <w:bookmarkEnd w:id="5"/>
      <w:r w:rsidRPr="00FB4B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Performance criteria describe the perf</w:t>
            </w:r>
            <w:r w:rsidRPr="00FB4B16">
              <w:t>ormance needed to demonstrate achievement of the element.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Select the appropriate calibration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Identify non-conforming calibration tasks and requests and analyse their significance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Review the authorised procedure and establish whether it is appropriate for the test, as required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Research an alternative or adapt an existing procedure to satisfy the test specification requirements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Confirm that available resources meet all the requirements of the calibration procedure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Obtain authorisation prior to substituting equipment, changing or deviating from the specified procedure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Document and validate any authorised changes or d</w:t>
            </w:r>
            <w:r w:rsidRPr="00FB4B16">
              <w:t>eviations in accordance with workplace procedures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Prepare items for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Identify hazards and use the appropriate personal protective equipment (PPE), safety equipment and procedures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Assemble and set up reference standards and associated equipment prior to testing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Verify performance of reference standards and measuring equipment prior to use and adjust or calibrate as necessary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Identify and minimise potential sources of measurement error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Perform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Perform individual tests and document each step in the calibration procedure to ensure repeatability of measurement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Critically analyse readings to confirm they are the result of a valid measurement and record data as required (as-found or before adjustment)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Adjust device under test to bring readings within </w:t>
            </w:r>
            <w:r w:rsidRPr="00FB4B16">
              <w:t>tolerance and record results (as-left or after adjustment</w:t>
            </w:r>
            <w:r w:rsidRPr="00FB4B16">
              <w:t xml:space="preserve">) if required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Analyse resulting test data to detect trends or inconsistencies that would significantly affect the accuracy or validity of test results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Seek appropriate advice when result interpretation is outside authorised scope of approval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Document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Document compliance/non-compliance with requirements of test and/or specifications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Estimate and document uncertainty of measurement in accordance with workplace procedures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Record the results</w:t>
            </w:r>
            <w:r w:rsidRPr="00FB4B16">
              <w:t xml:space="preserve"> of each test/calibration accurately, unambiguously and objectively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Ensure confidentiality of workplace information in accordance with workplace procedures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Finalise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Prepare and issue a final report for the job/item detailing testing carried out, statement of compliance and all other required information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 xml:space="preserve">Report any non-compliance and verify next course of action with supervisor 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Attach calibration labels, equipment stickers, quality control tags and tamper resistant seals as required in workplace procedures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Report all changes and deviations that may have a significant influence on the test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>Store test equipment/measurement standards and results in accordance with workplace procedures</w:t>
            </w:r>
          </w:p>
        </w:tc>
      </w:tr>
    </w:tbl>
    <w:p w:rsidR="00000000" w:rsidRPr="00FB4B16" w:rsidP="00FB4B16">
      <w:pPr>
        <w:pStyle w:val="BodyText"/>
      </w:pP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6" w:name="O_985270"/>
      <w:bookmarkEnd w:id="6"/>
      <w:r w:rsidRPr="00FB4B16">
        <w:t>Foundation Skills</w:t>
      </w:r>
    </w:p>
    <w:p w:rsidR="00000000" w:rsidRPr="00FB4B16" w:rsidP="003E649E">
      <w:pPr>
        <w:pStyle w:val="BodyText"/>
      </w:pPr>
      <w:r w:rsidRPr="00FB4B16">
        <w:t>This section describes those language, literacy, numeracy and employment skills that are essential to performance.</w:t>
      </w:r>
    </w:p>
    <w:p w:rsidR="00000000" w:rsidRPr="00FB4B16" w:rsidP="00FB4B16">
      <w:pPr>
        <w:pStyle w:val="ListBullet"/>
      </w:pPr>
      <w:r w:rsidRPr="00FB4B16">
        <w:t>Oral co</w:t>
      </w:r>
      <w:r w:rsidRPr="00FB4B16">
        <w:t>mmunication skills to explain complex calibration procedures and clarify requirements and deviations</w:t>
      </w:r>
    </w:p>
    <w:p w:rsidR="00000000" w:rsidRPr="00FB4B16" w:rsidP="00FB4B16">
      <w:pPr>
        <w:pStyle w:val="ListBullet"/>
      </w:pPr>
      <w:r w:rsidRPr="00FB4B16">
        <w:t>Numeracy skills to:</w:t>
      </w:r>
    </w:p>
    <w:p w:rsidR="00000000" w:rsidRPr="00FB4B16" w:rsidP="00FB4B16">
      <w:pPr>
        <w:pStyle w:val="ListBullet2"/>
      </w:pPr>
      <w:r w:rsidRPr="00FB4B16">
        <w:t>use calculation procedures to give results in appropriate accuracy, precision and units</w:t>
      </w:r>
    </w:p>
    <w:p w:rsidR="00000000" w:rsidRPr="00FB4B16" w:rsidP="00FB4B16">
      <w:pPr>
        <w:pStyle w:val="ListBullet2"/>
      </w:pPr>
      <w:r w:rsidRPr="00FB4B16">
        <w:t>use methods for statistical analysis (means, ranges and standard deviations) and estimation of uncertainty of measurement (can use software).</w:t>
      </w:r>
    </w:p>
    <w:p w:rsidR="00000000" w:rsidRPr="00FB4B16" w:rsidP="00FB4B16">
      <w:pPr>
        <w:pStyle w:val="BodyText"/>
      </w:pPr>
    </w:p>
    <w:p w:rsidR="00000000" w:rsidRPr="00FB4B16" w:rsidP="003E649E">
      <w:pPr>
        <w:pStyle w:val="BodyText"/>
      </w:pPr>
      <w:r w:rsidRPr="00FB4B16">
        <w:t>Other foundation skills essential to performance are explicit in the performance criteria of this unit.</w:t>
      </w:r>
    </w:p>
    <w:p w:rsidR="00000000" w:rsidRPr="00FB4B16" w:rsidP="00FB4B16">
      <w:pPr>
        <w:pStyle w:val="Heading1"/>
      </w:pPr>
      <w:bookmarkStart w:id="7" w:name="O_985269"/>
      <w:bookmarkEnd w:id="7"/>
      <w:r w:rsidRPr="00FB4B16">
        <w:t>Unit Mapping Information</w:t>
      </w:r>
    </w:p>
    <w:p w:rsidR="00000000" w:rsidRPr="00FB4B16" w:rsidP="003E649E">
      <w:pPr>
        <w:pStyle w:val="BodyText"/>
      </w:pPr>
      <w:r w:rsidRPr="00FB4B16">
        <w:t>Equivalent to MSL905001 Perform non-standard calibrations, Release 1.</w:t>
      </w:r>
    </w:p>
    <w:p w:rsidR="00000000" w:rsidRPr="00FB4B16" w:rsidP="00FB4B16">
      <w:pPr>
        <w:pStyle w:val="Heading1"/>
      </w:pPr>
      <w:bookmarkStart w:id="8" w:name="O_985262"/>
      <w:bookmarkEnd w:id="8"/>
      <w:r w:rsidRPr="00FB4B16">
        <w:t>Links</w:t>
      </w:r>
    </w:p>
    <w:p w:rsidR="00000000" w:rsidRPr="00FB4B16" w:rsidP="003E649E">
      <w:pPr>
        <w:pStyle w:val="BodyText"/>
      </w:pPr>
      <w:r w:rsidRPr="00FB4B1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29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B4B16" w:rsidP="003E649E">
      <w:pPr>
        <w:pStyle w:val="BodyText"/>
        <w:sectPr w:rsidSect="00FB4B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4B16" w:rsidP="00FB4B16">
      <w:pPr>
        <w:pStyle w:val="SuperHeading"/>
      </w:pPr>
      <w:r w:rsidRPr="00FB4B16">
        <w:t>Assessment Requirements for MSL905004 Perform non-standard calibrations</w:t>
      </w:r>
    </w:p>
    <w:p w:rsidR="00000000" w:rsidRPr="00FB4B16" w:rsidP="00FB4B16">
      <w:pPr>
        <w:pStyle w:val="Heading1"/>
      </w:pPr>
      <w:bookmarkStart w:id="9" w:name="O_985264"/>
      <w:bookmarkEnd w:id="9"/>
      <w:r w:rsidRPr="00FB4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346"/>
      </w:tblGrid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4B16" w:rsidP="00FB4B16">
            <w:pPr>
              <w:pStyle w:val="BodyText"/>
            </w:pPr>
            <w:r w:rsidRPr="00FB4B16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rPr>
                <w:rStyle w:val="SpecialBold"/>
              </w:rPr>
              <w:t>Comments</w:t>
            </w:r>
          </w:p>
        </w:tc>
      </w:tr>
      <w:tr w:rsidTr="00FB4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B16">
            <w:pPr>
              <w:pStyle w:val="BodyText"/>
              <w:rPr>
                <w:lang w:val="en-NZ"/>
              </w:rPr>
            </w:pPr>
            <w:r w:rsidRPr="00FB4B16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B16" w:rsidP="00FB4B16">
            <w:pPr>
              <w:pStyle w:val="BodyText"/>
            </w:pPr>
            <w:r w:rsidRPr="00FB4B16">
              <w:t xml:space="preserve">This version was released in </w:t>
            </w:r>
            <w:r w:rsidRPr="00FB4B16">
              <w:rPr>
                <w:rStyle w:val="Emphasis"/>
              </w:rPr>
              <w:t>MSL Laboratory Operations Training Package Release 2.0.</w:t>
            </w:r>
          </w:p>
          <w:p w:rsidR="00000000" w:rsidRPr="00FB4B16" w:rsidP="00FB4B16">
            <w:pPr>
              <w:pStyle w:val="BodyText"/>
            </w:pPr>
            <w:r w:rsidRPr="00FB4B16">
              <w:t>Supersedes and equivalent to MSL905001 Perform non-standard calibrations. Foundation skills information added. Range of conditions removed. Assessment requirements amended</w:t>
            </w:r>
            <w:r w:rsidRPr="00FB4B16">
              <w:t>. Equivalent outcome.</w:t>
            </w:r>
          </w:p>
        </w:tc>
      </w:tr>
    </w:tbl>
    <w:p w:rsidR="00000000" w:rsidRPr="00FB4B16" w:rsidP="00FB4B16">
      <w:pPr>
        <w:pStyle w:val="BodyText"/>
      </w:pP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10" w:name="O_985267"/>
      <w:bookmarkEnd w:id="10"/>
      <w:r w:rsidRPr="00FB4B16">
        <w:t>Performance Evidence</w:t>
      </w:r>
    </w:p>
    <w:p w:rsidR="00000000" w:rsidRPr="00FB4B16" w:rsidP="003E649E">
      <w:pPr>
        <w:pStyle w:val="BodyText"/>
      </w:pPr>
      <w:r w:rsidRPr="00FB4B16">
        <w:t>There must be evidence the candidate has completed the tasks outlined in the elements and performance criteria of this unit, and:</w:t>
      </w:r>
    </w:p>
    <w:p w:rsidR="00000000" w:rsidRPr="00FB4B16" w:rsidP="00FB4B16">
      <w:pPr>
        <w:pStyle w:val="ListBullet"/>
      </w:pPr>
      <w:r w:rsidRPr="00FB4B16">
        <w:t>safely and accurately performed non-standard calibrations of test and measurement equipment in accordance with workplace procedures on at least two separate occasions.</w:t>
      </w: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11" w:name="O_985266"/>
      <w:bookmarkEnd w:id="11"/>
      <w:r w:rsidRPr="00FB4B16">
        <w:t>Knowledge Evidence</w:t>
      </w:r>
    </w:p>
    <w:p w:rsidR="00000000" w:rsidRPr="00FB4B16" w:rsidP="003E649E">
      <w:pPr>
        <w:pStyle w:val="BodyText"/>
      </w:pPr>
      <w:r w:rsidRPr="00FB4B16">
        <w:t>There must be evidence the candidate has knowledge o</w:t>
      </w:r>
      <w:r w:rsidRPr="00FB4B16">
        <w:t>f:</w:t>
      </w:r>
    </w:p>
    <w:p w:rsidR="00000000" w:rsidRPr="00FB4B16" w:rsidP="00FB4B16">
      <w:pPr>
        <w:pStyle w:val="ListBullet"/>
      </w:pPr>
      <w:r w:rsidRPr="00FB4B16">
        <w:t>procedures, and implications, for changing or deviating from standard calibration methods and procedures</w:t>
      </w:r>
    </w:p>
    <w:p w:rsidR="00000000" w:rsidRPr="00FB4B16" w:rsidP="00FB4B16">
      <w:pPr>
        <w:pStyle w:val="ListBullet"/>
      </w:pPr>
      <w:r w:rsidRPr="00FB4B16">
        <w:t>structure and terminology used in standard calibration methods, procedures, requests and instructions</w:t>
      </w:r>
    </w:p>
    <w:p w:rsidR="00000000" w:rsidRPr="00FB4B16" w:rsidP="00FB4B16">
      <w:pPr>
        <w:pStyle w:val="ListBullet"/>
      </w:pPr>
      <w:r w:rsidRPr="00FB4B16">
        <w:t>Australian and international standards accura</w:t>
      </w:r>
      <w:r w:rsidRPr="00FB4B16">
        <w:t>cy of measurement methods and results, expression of uncertainty (GUM), quantifying uncertainty in analytical measurement, quality assurance of measurement equipment</w:t>
      </w:r>
    </w:p>
    <w:p w:rsidR="00000000" w:rsidRPr="00FB4B16" w:rsidP="00FB4B16">
      <w:pPr>
        <w:pStyle w:val="ListBullet"/>
      </w:pPr>
      <w:r w:rsidRPr="00FB4B16">
        <w:t>registration/licensing and/or National Association of Testing Authorities (NATA) accredita</w:t>
      </w:r>
      <w:r w:rsidRPr="00FB4B16">
        <w:t>tion requirements</w:t>
      </w:r>
    </w:p>
    <w:p w:rsidR="00000000" w:rsidRPr="00FB4B16" w:rsidP="00FB4B16">
      <w:pPr>
        <w:pStyle w:val="ListBullet"/>
      </w:pPr>
      <w:r w:rsidRPr="00FB4B16">
        <w:t>test methods, calibration procedures and new technology published by international, national or regional standards, reputable technical organisations, scientific texts or journals and equipment manufacturers and the hierarchy of these ref</w:t>
      </w:r>
      <w:r w:rsidRPr="00FB4B16">
        <w:t>erence materials</w:t>
      </w:r>
    </w:p>
    <w:p w:rsidR="00000000" w:rsidRPr="00FB4B16" w:rsidP="00FB4B16">
      <w:pPr>
        <w:pStyle w:val="ListBullet"/>
      </w:pPr>
      <w:r w:rsidRPr="00FB4B16">
        <w:t>common test equipment</w:t>
      </w:r>
    </w:p>
    <w:p w:rsidR="00000000" w:rsidRPr="00FB4B16" w:rsidP="00FB4B16">
      <w:pPr>
        <w:pStyle w:val="ListBullet"/>
      </w:pPr>
      <w:r w:rsidRPr="00FB4B16">
        <w:t>legal, ethical and workplace requirements specific to the work task</w:t>
      </w:r>
    </w:p>
    <w:p w:rsidR="00000000" w:rsidRPr="00FB4B16" w:rsidP="00FB4B16">
      <w:pPr>
        <w:pStyle w:val="ListBullet"/>
      </w:pPr>
      <w:r w:rsidRPr="00FB4B16">
        <w:t>fields where testing and calibration are conducted</w:t>
      </w:r>
    </w:p>
    <w:p w:rsidR="00000000" w:rsidRPr="00FB4B16" w:rsidP="00FB4B16">
      <w:pPr>
        <w:pStyle w:val="ListBullet"/>
      </w:pPr>
      <w:r w:rsidRPr="00FB4B16">
        <w:t xml:space="preserve">legal, ethical and work health and safety (WHS) requirements specific to the work task. </w:t>
      </w: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12" w:name="O_985265"/>
      <w:bookmarkEnd w:id="12"/>
      <w:r w:rsidRPr="00FB4B16">
        <w:t>Assessment Conditions</w:t>
      </w:r>
    </w:p>
    <w:p w:rsidR="00000000" w:rsidRPr="00FB4B16" w:rsidP="003E649E">
      <w:pPr>
        <w:pStyle w:val="BodyText"/>
      </w:pPr>
      <w:r w:rsidRPr="00FB4B1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B4B16" w:rsidP="00FB4B16">
      <w:pPr>
        <w:pStyle w:val="ListBullet"/>
      </w:pPr>
      <w:r w:rsidRPr="00FB4B16">
        <w:t>use of suitable facilities, equipmen</w:t>
      </w:r>
      <w:r w:rsidRPr="00FB4B16">
        <w:t>t and resources, including:</w:t>
      </w:r>
    </w:p>
    <w:p w:rsidR="00000000" w:rsidRPr="00FB4B16" w:rsidP="00FB4B16">
      <w:pPr>
        <w:pStyle w:val="ListBullet2"/>
      </w:pPr>
      <w:r w:rsidRPr="00FB4B16">
        <w:t>specialised calibration/test equipment, reference standards and materials and laboratory facilities</w:t>
      </w:r>
    </w:p>
    <w:p w:rsidR="00000000" w:rsidRPr="00FB4B16" w:rsidP="00FB4B16">
      <w:pPr>
        <w:pStyle w:val="ListBullet2"/>
      </w:pPr>
      <w:r w:rsidRPr="00FB4B16">
        <w:t>procedures and equipment specifications</w:t>
      </w:r>
    </w:p>
    <w:p w:rsidR="00000000" w:rsidRPr="00FB4B16" w:rsidP="00FB4B16">
      <w:pPr>
        <w:pStyle w:val="ListBullet2"/>
      </w:pPr>
      <w:r w:rsidRPr="00FB4B16">
        <w:t>workplace quality manual and procedures.</w:t>
      </w:r>
    </w:p>
    <w:p w:rsidR="00000000" w:rsidRPr="00FB4B16" w:rsidP="003E649E">
      <w:pPr>
        <w:pStyle w:val="BodyText"/>
      </w:pPr>
      <w:r w:rsidRPr="00FB4B16">
        <w:br/>
        <w:t>Asses</w:t>
      </w:r>
      <w:r w:rsidRPr="00FB4B16">
        <w:t>sors must satisfy the NVR/AQTF mandatory competency requirements for assessors.</w:t>
      </w:r>
    </w:p>
    <w:p w:rsidR="00000000" w:rsidRPr="00FB4B16" w:rsidP="00FB4B16">
      <w:pPr>
        <w:pStyle w:val="AllowPageBreak"/>
      </w:pPr>
    </w:p>
    <w:p w:rsidR="00000000" w:rsidRPr="00FB4B16" w:rsidP="00FB4B16">
      <w:pPr>
        <w:pStyle w:val="Heading1"/>
      </w:pPr>
      <w:bookmarkStart w:id="13" w:name="O_985263"/>
      <w:bookmarkEnd w:id="13"/>
      <w:r w:rsidRPr="00FB4B16">
        <w:t>Links</w:t>
      </w:r>
    </w:p>
    <w:p w:rsidR="00000000" w:rsidRPr="00FB4B16" w:rsidP="003E649E">
      <w:pPr>
        <w:pStyle w:val="BodyText"/>
      </w:pPr>
      <w:r w:rsidRPr="00FB4B1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5291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B4B16" w:rsidP="00FB4B16"/>
    <w:sectPr w:rsidSect="00FB4B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 w:rsidRPr="003E649E" w:rsidP="003E6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9E" w:rsidP="00FB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649E" w:rsidP="00FB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649E" w:rsidP="00FB4B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 w:rsidP="00FB4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49E">
      <w:t>Approved</w:t>
    </w:r>
    <w:r w:rsidR="003E64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4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49E">
      <w:rPr>
        <w:noProof/>
      </w:rPr>
      <w:t>5</w:t>
    </w:r>
    <w:r>
      <w:rPr>
        <w:noProof/>
      </w:rPr>
      <w:fldChar w:fldCharType="end"/>
    </w:r>
  </w:p>
  <w:p w:rsidR="00FB4B16" w:rsidP="00FB4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4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49E">
      <w:t>Manufacturing Industry Skills Alliance</w:t>
    </w:r>
    <w:r w:rsidR="003E649E">
      <w:fldChar w:fldCharType="end"/>
    </w:r>
  </w:p>
  <w:p w:rsidR="00FB4B16" w:rsidP="00FB4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B16" w:rsidRPr="003E649E" w:rsidP="003E6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9E" w:rsidRPr="002D2AF8" w:rsidP="00FB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MSL905004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649E" w:rsidP="00FB4B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B16" w:rsidRPr="002D2AF8" w:rsidP="00FB4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49E">
      <w:t>MSL905004 Perform non-standard calibrations</w:t>
    </w:r>
    <w:r w:rsidR="003E64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49E">
      <w:rPr>
        <w:noProof/>
      </w:rPr>
      <w:t>1 March 2025</w:t>
    </w:r>
    <w:r>
      <w:fldChar w:fldCharType="end"/>
    </w:r>
  </w:p>
  <w:p w:rsidR="00FB4B16" w:rsidP="00FB4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C0C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EA3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23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B16"/>
  </w:style>
  <w:style w:type="character" w:customStyle="1" w:styleId="Heading1Char">
    <w:name w:val="Heading 1 Char"/>
    <w:basedOn w:val="DefaultParagraphFont"/>
    <w:link w:val="Heading1"/>
    <w:rsid w:val="00FB4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B16"/>
    <w:rPr>
      <w:b/>
      <w:spacing w:val="0"/>
    </w:rPr>
  </w:style>
  <w:style w:type="paragraph" w:styleId="ListBullet2">
    <w:name w:val="List Bullet 2"/>
    <w:basedOn w:val="List2"/>
    <w:rsid w:val="00FB4B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4B16"/>
    <w:rPr>
      <w:i/>
    </w:rPr>
  </w:style>
  <w:style w:type="paragraph" w:customStyle="1" w:styleId="SuperHeading">
    <w:name w:val="SuperHeading"/>
    <w:basedOn w:val="Normal"/>
    <w:rsid w:val="00FB4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B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B16"/>
  </w:style>
  <w:style w:type="paragraph" w:styleId="TableofFigures">
    <w:name w:val="table of figures"/>
    <w:basedOn w:val="Normal"/>
    <w:next w:val="Normal"/>
    <w:semiHidden/>
    <w:rsid w:val="00FB4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B16"/>
    <w:rPr>
      <w:rFonts w:ascii="Wingdings" w:hAnsi="Wingdings"/>
    </w:rPr>
  </w:style>
  <w:style w:type="paragraph" w:customStyle="1" w:styleId="TableHeading">
    <w:name w:val="Table Heading"/>
    <w:basedOn w:val="HeadingBase"/>
    <w:rsid w:val="00FB4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B16"/>
    <w:rPr>
      <w:color w:val="0033CC"/>
      <w:u w:val="none"/>
    </w:rPr>
  </w:style>
  <w:style w:type="paragraph" w:customStyle="1" w:styleId="BodyTextRight">
    <w:name w:val="Body Text Right"/>
    <w:basedOn w:val="BodyText"/>
    <w:rsid w:val="00FB4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B16"/>
    <w:rPr>
      <w:sz w:val="32"/>
    </w:rPr>
  </w:style>
  <w:style w:type="paragraph" w:customStyle="1" w:styleId="HeadingProcedure">
    <w:name w:val="Heading Procedure"/>
    <w:basedOn w:val="HeadingBase"/>
    <w:next w:val="Normal"/>
    <w:rsid w:val="00FB4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B16"/>
    <w:pPr>
      <w:spacing w:before="60" w:after="60"/>
    </w:pPr>
  </w:style>
  <w:style w:type="paragraph" w:styleId="ListContinue">
    <w:name w:val="List Continue"/>
    <w:basedOn w:val="List"/>
    <w:rsid w:val="00FB4B16"/>
    <w:pPr>
      <w:ind w:firstLine="0"/>
    </w:pPr>
  </w:style>
  <w:style w:type="paragraph" w:customStyle="1" w:styleId="ListNote">
    <w:name w:val="List Note"/>
    <w:basedOn w:val="List"/>
    <w:rsid w:val="00FB4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B16"/>
    <w:rPr>
      <w:rFonts w:ascii="Courier New" w:hAnsi="Courier New"/>
    </w:rPr>
  </w:style>
  <w:style w:type="paragraph" w:customStyle="1" w:styleId="NoteBullet">
    <w:name w:val="Note Bullet"/>
    <w:basedOn w:val="Note"/>
    <w:rsid w:val="00FB4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B16"/>
    <w:rPr>
      <w:b/>
      <w:smallCaps/>
    </w:rPr>
  </w:style>
  <w:style w:type="paragraph" w:customStyle="1" w:styleId="TableListNumber">
    <w:name w:val="Table List Number"/>
    <w:basedOn w:val="ListNumber"/>
    <w:rsid w:val="00FB4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B16"/>
    <w:pPr>
      <w:numPr>
        <w:numId w:val="9"/>
      </w:numPr>
    </w:pPr>
  </w:style>
  <w:style w:type="paragraph" w:customStyle="1" w:styleId="ListAlpha2">
    <w:name w:val="List Alpha 2"/>
    <w:basedOn w:val="List2"/>
    <w:rsid w:val="00FB4B16"/>
    <w:pPr>
      <w:numPr>
        <w:numId w:val="8"/>
      </w:numPr>
    </w:pPr>
  </w:style>
  <w:style w:type="paragraph" w:styleId="List2">
    <w:name w:val="List 2"/>
    <w:basedOn w:val="BodyText"/>
    <w:rsid w:val="00FB4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B16"/>
    <w:pPr>
      <w:numPr>
        <w:numId w:val="4"/>
      </w:numPr>
    </w:pPr>
  </w:style>
  <w:style w:type="paragraph" w:styleId="ListContinue2">
    <w:name w:val="List Continue 2"/>
    <w:basedOn w:val="List2"/>
    <w:rsid w:val="00FB4B16"/>
    <w:pPr>
      <w:ind w:firstLine="0"/>
    </w:pPr>
  </w:style>
  <w:style w:type="paragraph" w:styleId="ListContinue3">
    <w:name w:val="List Continue 3"/>
    <w:basedOn w:val="List3"/>
    <w:rsid w:val="00FB4B16"/>
    <w:pPr>
      <w:ind w:left="1021" w:firstLine="0"/>
    </w:pPr>
  </w:style>
  <w:style w:type="paragraph" w:styleId="ListContinue4">
    <w:name w:val="List Continue 4"/>
    <w:basedOn w:val="List4"/>
    <w:rsid w:val="00FB4B16"/>
    <w:pPr>
      <w:ind w:firstLine="0"/>
    </w:pPr>
  </w:style>
  <w:style w:type="paragraph" w:styleId="ListContinue5">
    <w:name w:val="List Continue 5"/>
    <w:basedOn w:val="List5"/>
    <w:rsid w:val="00FB4B16"/>
    <w:pPr>
      <w:ind w:firstLine="0"/>
    </w:pPr>
  </w:style>
  <w:style w:type="paragraph" w:styleId="ListNumber3">
    <w:name w:val="List Number 3"/>
    <w:basedOn w:val="List3"/>
    <w:rsid w:val="00FB4B16"/>
    <w:pPr>
      <w:numPr>
        <w:numId w:val="5"/>
      </w:numPr>
    </w:pPr>
  </w:style>
  <w:style w:type="paragraph" w:styleId="ListNumber4">
    <w:name w:val="List Number 4"/>
    <w:basedOn w:val="List4"/>
    <w:rsid w:val="00FB4B16"/>
    <w:pPr>
      <w:numPr>
        <w:numId w:val="6"/>
      </w:numPr>
    </w:pPr>
  </w:style>
  <w:style w:type="paragraph" w:styleId="ListNumber5">
    <w:name w:val="List Number 5"/>
    <w:basedOn w:val="List5"/>
    <w:rsid w:val="00FB4B16"/>
    <w:pPr>
      <w:numPr>
        <w:numId w:val="7"/>
      </w:numPr>
    </w:pPr>
  </w:style>
  <w:style w:type="paragraph" w:styleId="BlockText">
    <w:name w:val="Block Text"/>
    <w:basedOn w:val="Normal"/>
    <w:rsid w:val="00FB4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B16"/>
    <w:rPr>
      <w:sz w:val="16"/>
      <w:vertAlign w:val="superscript"/>
    </w:rPr>
  </w:style>
  <w:style w:type="character" w:customStyle="1" w:styleId="Symbols">
    <w:name w:val="Symbols"/>
    <w:basedOn w:val="DefaultParagraphFont"/>
    <w:rsid w:val="00FB4B16"/>
    <w:rPr>
      <w:rFonts w:ascii="Symbol" w:hAnsi="Symbol"/>
    </w:rPr>
  </w:style>
  <w:style w:type="character" w:customStyle="1" w:styleId="MenuOptions">
    <w:name w:val="Menu Options"/>
    <w:basedOn w:val="DefaultParagraphFont"/>
    <w:rsid w:val="00FB4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B16"/>
    <w:rPr>
      <w:b/>
    </w:rPr>
  </w:style>
  <w:style w:type="character" w:customStyle="1" w:styleId="Underlined">
    <w:name w:val="Underlined"/>
    <w:basedOn w:val="DefaultParagraphFont"/>
    <w:rsid w:val="00FB4B16"/>
    <w:rPr>
      <w:u w:val="single"/>
    </w:rPr>
  </w:style>
  <w:style w:type="paragraph" w:customStyle="1" w:styleId="TableBodyTextRight">
    <w:name w:val="Table Body Text Right"/>
    <w:basedOn w:val="TableBodyText"/>
    <w:rsid w:val="00FB4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B16"/>
    <w:rPr>
      <w:sz w:val="18"/>
    </w:rPr>
  </w:style>
  <w:style w:type="paragraph" w:customStyle="1" w:styleId="BodySmallRight">
    <w:name w:val="Body Small Right"/>
    <w:basedOn w:val="BodyTextRight"/>
    <w:rsid w:val="00FB4B16"/>
    <w:rPr>
      <w:sz w:val="18"/>
      <w:szCs w:val="18"/>
    </w:rPr>
  </w:style>
  <w:style w:type="paragraph" w:customStyle="1" w:styleId="MarginEdition">
    <w:name w:val="Margin Edition"/>
    <w:basedOn w:val="MarginNote"/>
    <w:rsid w:val="00FB4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B16"/>
    <w:rPr>
      <w:sz w:val="2"/>
      <w:szCs w:val="2"/>
    </w:rPr>
  </w:style>
  <w:style w:type="character" w:customStyle="1" w:styleId="Small">
    <w:name w:val="Small"/>
    <w:basedOn w:val="DefaultParagraphFont"/>
    <w:rsid w:val="00FB4B16"/>
    <w:rPr>
      <w:sz w:val="16"/>
    </w:rPr>
  </w:style>
  <w:style w:type="paragraph" w:customStyle="1" w:styleId="WideTable">
    <w:name w:val="Wide Table"/>
    <w:basedOn w:val="Normal"/>
    <w:rsid w:val="00FB4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B16"/>
  </w:style>
  <w:style w:type="paragraph" w:styleId="Quote">
    <w:name w:val="Quote"/>
    <w:basedOn w:val="Heading1"/>
    <w:link w:val="QuoteChar"/>
    <w:qFormat/>
    <w:rsid w:val="00FB4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B16"/>
    <w:pPr>
      <w:pageBreakBefore/>
    </w:pPr>
  </w:style>
  <w:style w:type="paragraph" w:customStyle="1" w:styleId="Border">
    <w:name w:val="Border"/>
    <w:basedOn w:val="Normal"/>
    <w:qFormat/>
    <w:rsid w:val="00FB4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B16"/>
    <w:rPr>
      <w:u w:val="single"/>
    </w:rPr>
  </w:style>
  <w:style w:type="character" w:customStyle="1" w:styleId="BoldandItalics">
    <w:name w:val="Bold and Italics"/>
    <w:qFormat/>
    <w:rsid w:val="00FB4B16"/>
    <w:rPr>
      <w:b/>
      <w:i/>
      <w:u w:val="none"/>
    </w:rPr>
  </w:style>
  <w:style w:type="paragraph" w:styleId="BalloonText">
    <w:name w:val="Balloon Text"/>
    <w:basedOn w:val="Normal"/>
    <w:link w:val="BalloonTextChar"/>
    <w:rsid w:val="00FB4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B16"/>
    <w:pPr>
      <w:spacing w:before="0" w:after="0"/>
    </w:pPr>
  </w:style>
  <w:style w:type="paragraph" w:customStyle="1" w:styleId="BodyTextBold">
    <w:name w:val="Body Text Bold"/>
    <w:basedOn w:val="BodyText"/>
    <w:qFormat/>
    <w:rsid w:val="00FB4B16"/>
    <w:rPr>
      <w:b/>
    </w:rPr>
  </w:style>
  <w:style w:type="character" w:styleId="Hyperlink">
    <w:name w:val="Hyperlink"/>
    <w:basedOn w:val="DefaultParagraphFont"/>
    <w:uiPriority w:val="99"/>
    <w:unhideWhenUsed/>
    <w:rsid w:val="003E6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7448</Characters>
  <Application>Microsoft Office Word</Application>
  <DocSecurity>0</DocSecurity>
  <Lines>286</Lines>
  <Paragraphs>142</Paragraphs>
  <ScaleCrop>false</ScaleCrop>
  <Company>Author-it Software Corporation Ltd.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MSL905004 Perform non-standard calibrations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