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4149" w:rsidP="00984149">
      <w:pPr>
        <w:pStyle w:val="Title"/>
      </w:pPr>
      <w:r>
        <w:fldChar w:fldCharType="begin"/>
      </w:r>
      <w:r>
        <w:instrText xml:space="preserve"> TITLE   \* MERGEFORMAT </w:instrText>
      </w:r>
      <w:r>
        <w:fldChar w:fldCharType="separate"/>
      </w:r>
      <w:r>
        <w:t>MSL905002 Create or modify calibration procedures</w:t>
      </w:r>
      <w:r>
        <w:fldChar w:fldCharType="end"/>
      </w:r>
    </w:p>
    <w:p w:rsidR="00984149" w:rsidP="00984149">
      <w:pPr>
        <w:pStyle w:val="Version"/>
        <w:sectPr w:rsidSect="009455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5545" w:rsidP="00945545">
      <w:pPr>
        <w:pStyle w:val="SuperHeading"/>
      </w:pPr>
      <w:r w:rsidRPr="00945545">
        <w:t>MSL905002 Create or modify calibration procedures</w:t>
      </w:r>
    </w:p>
    <w:p w:rsidR="00000000" w:rsidRPr="00945545" w:rsidP="00945545">
      <w:pPr>
        <w:pStyle w:val="Heading1"/>
      </w:pPr>
      <w:bookmarkStart w:id="1" w:name="O_902750"/>
      <w:bookmarkEnd w:id="1"/>
      <w:r w:rsidRPr="00945545">
        <w:t>Modification History</w:t>
      </w:r>
    </w:p>
    <w:p w:rsidR="00000000" w:rsidRPr="00945545" w:rsidP="00984149">
      <w:pPr>
        <w:pStyle w:val="BodyText"/>
      </w:pPr>
      <w:r w:rsidRPr="00945545">
        <w:t>Release 1. Supersedes and is equivalent to MSL905002A Create or modify calibration procedures</w:t>
      </w:r>
    </w:p>
    <w:p w:rsidR="00000000" w:rsidRPr="00945545" w:rsidP="00945545">
      <w:pPr>
        <w:pStyle w:val="Heading1"/>
      </w:pPr>
      <w:bookmarkStart w:id="2" w:name="O_902758"/>
      <w:bookmarkEnd w:id="2"/>
      <w:r w:rsidRPr="00945545">
        <w:t>Application</w:t>
      </w:r>
    </w:p>
    <w:p w:rsidR="00000000" w:rsidRPr="00945545" w:rsidP="00984149">
      <w:pPr>
        <w:pStyle w:val="BodyText"/>
      </w:pPr>
      <w:r w:rsidRPr="00945545">
        <w:t>This unit of competency covers the ability to create or modify calibration procedures in response to the</w:t>
      </w:r>
      <w:r w:rsidRPr="00945545">
        <w:t xml:space="preserve"> introduction of alternative/new equipment, changing test circumstances, activities involved in research and development trials or to meet client needs. The unit covers research of current calibration procedures and technology, development or modification </w:t>
      </w:r>
      <w:r w:rsidRPr="00945545">
        <w:t xml:space="preserve">of a procedure, its subsequent trialling and confirmation that it is fit for purpose. This unit of competency does not cover the ability to create or edit software controlled calibration procedures as this is covered in another unit of competency. </w:t>
      </w:r>
    </w:p>
    <w:p w:rsidR="00000000" w:rsidRPr="00945545" w:rsidP="00984149">
      <w:pPr>
        <w:pStyle w:val="BodyText"/>
      </w:pPr>
      <w:r w:rsidRPr="00945545">
        <w:t>This u</w:t>
      </w:r>
      <w:r w:rsidRPr="00945545">
        <w:t>nit of competency is applicable to calibration technicians/specialists who carry out test and/or calibrations in first, second and third party laboratories, and laboratories where testing and/or calibration forms part of inspection or product certification</w:t>
      </w:r>
      <w:r w:rsidRPr="00945545">
        <w:t>. It covers the work of only those personnel who are authorised by their laboratory to create or modify calibration procedures. They work with limited guidance and results of their work are checked by the laboratory manager, quality inspector or designated</w:t>
      </w:r>
      <w:r w:rsidRPr="00945545">
        <w:t xml:space="preserve"> signatory.</w:t>
      </w:r>
    </w:p>
    <w:p w:rsidR="00000000" w:rsidRPr="00945545" w:rsidP="00984149">
      <w:pPr>
        <w:pStyle w:val="BodyText"/>
      </w:pPr>
      <w:r w:rsidRPr="00945545">
        <w:t>While no specific licensing or certification requirements apply to this unit at the time of publication, laboratory operations are governed by relevant legislation, regulations and/or external accreditation requirements. Local requirements sho</w:t>
      </w:r>
      <w:r w:rsidRPr="00945545">
        <w:t>uld be checked.</w:t>
      </w:r>
    </w:p>
    <w:p w:rsidR="00000000" w:rsidRPr="00945545" w:rsidP="00945545">
      <w:pPr>
        <w:pStyle w:val="Heading1"/>
      </w:pPr>
      <w:bookmarkStart w:id="3" w:name="O_902757"/>
      <w:bookmarkEnd w:id="3"/>
      <w:r w:rsidRPr="00945545">
        <w:t>Pre-requisite Unit</w:t>
      </w:r>
    </w:p>
    <w:tbl>
      <w:tblPr>
        <w:tblW w:w="0" w:type="auto"/>
        <w:tblCellMar>
          <w:left w:w="62" w:type="dxa"/>
          <w:right w:w="62" w:type="dxa"/>
        </w:tblCellMar>
        <w:tblLook w:val="0000"/>
      </w:tblPr>
      <w:tblGrid>
        <w:gridCol w:w="1623"/>
        <w:gridCol w:w="7573"/>
      </w:tblGrid>
      <w:tr w:rsidTr="009841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5545">
            <w:pPr>
              <w:pStyle w:val="BodyText"/>
              <w:rPr>
                <w:lang w:val="en-NZ"/>
              </w:rPr>
            </w:pPr>
            <w:r w:rsidRPr="00945545">
              <w:t>MSL904001</w:t>
            </w:r>
          </w:p>
        </w:tc>
        <w:tc>
          <w:tcPr>
            <w:tcW w:w="0" w:type="auto"/>
            <w:tcBorders>
              <w:top w:val="nil"/>
              <w:left w:val="nil"/>
              <w:bottom w:val="nil"/>
              <w:right w:val="nil"/>
            </w:tcBorders>
            <w:tcMar>
              <w:top w:w="0" w:type="dxa"/>
              <w:left w:w="62" w:type="dxa"/>
              <w:bottom w:w="0" w:type="dxa"/>
              <w:right w:w="62" w:type="dxa"/>
            </w:tcMar>
          </w:tcPr>
          <w:p w:rsidR="00000000" w:rsidP="00945545">
            <w:pPr>
              <w:pStyle w:val="BodyText"/>
              <w:rPr>
                <w:lang w:val="en-NZ"/>
              </w:rPr>
            </w:pPr>
            <w:r w:rsidRPr="00945545">
              <w:t>Perform standard calibrations</w:t>
            </w:r>
          </w:p>
        </w:tc>
      </w:tr>
      <w:tr w:rsidTr="009841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5545">
            <w:pPr>
              <w:pStyle w:val="BodyText"/>
              <w:rPr>
                <w:lang w:val="en-NZ"/>
              </w:rPr>
            </w:pPr>
            <w:r w:rsidRPr="00945545">
              <w:t>MSL905001</w:t>
            </w:r>
          </w:p>
        </w:tc>
        <w:tc>
          <w:tcPr>
            <w:tcW w:w="0" w:type="auto"/>
            <w:tcBorders>
              <w:top w:val="nil"/>
              <w:left w:val="nil"/>
              <w:bottom w:val="nil"/>
              <w:right w:val="nil"/>
            </w:tcBorders>
            <w:tcMar>
              <w:top w:w="0" w:type="dxa"/>
              <w:left w:w="62" w:type="dxa"/>
              <w:bottom w:w="0" w:type="dxa"/>
              <w:right w:w="62" w:type="dxa"/>
            </w:tcMar>
          </w:tcPr>
          <w:p w:rsidR="00000000" w:rsidRPr="00945545" w:rsidP="00945545">
            <w:pPr>
              <w:pStyle w:val="BodyText"/>
            </w:pPr>
            <w:r w:rsidRPr="00945545">
              <w:t>Perform non-standard calibrations</w:t>
            </w:r>
          </w:p>
        </w:tc>
      </w:tr>
    </w:tbl>
    <w:p w:rsidR="00000000" w:rsidRPr="00945545" w:rsidP="00945545">
      <w:pPr>
        <w:pStyle w:val="BodyText"/>
      </w:pPr>
    </w:p>
    <w:p w:rsidR="00000000" w:rsidRPr="00945545" w:rsidP="00945545">
      <w:pPr>
        <w:pStyle w:val="AllowPageBreak"/>
      </w:pPr>
    </w:p>
    <w:p w:rsidR="00000000" w:rsidRPr="00945545" w:rsidP="00945545">
      <w:pPr>
        <w:pStyle w:val="Heading1"/>
      </w:pPr>
      <w:bookmarkStart w:id="4" w:name="O_902756"/>
      <w:bookmarkEnd w:id="4"/>
      <w:r w:rsidRPr="00945545">
        <w:t>Competency Field</w:t>
      </w:r>
    </w:p>
    <w:p w:rsidR="00000000" w:rsidRPr="00945545" w:rsidP="00984149">
      <w:pPr>
        <w:pStyle w:val="BodyText"/>
      </w:pPr>
      <w:r w:rsidRPr="00945545">
        <w:t>Calibration</w:t>
      </w:r>
    </w:p>
    <w:p w:rsidR="00000000" w:rsidRPr="00945545" w:rsidP="00945545">
      <w:pPr>
        <w:pStyle w:val="Heading1"/>
      </w:pPr>
      <w:bookmarkStart w:id="5" w:name="O_902755"/>
      <w:bookmarkEnd w:id="5"/>
      <w:r w:rsidRPr="00945545">
        <w:t>Unit Sector</w:t>
      </w:r>
    </w:p>
    <w:p w:rsidR="00000000" w:rsidRPr="00945545" w:rsidP="00945545">
      <w:pPr>
        <w:pStyle w:val="Heading1"/>
      </w:pPr>
      <w:bookmarkStart w:id="6" w:name="O_902754"/>
      <w:bookmarkEnd w:id="6"/>
      <w:r w:rsidRPr="0094554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4554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45545">
            <w:pPr>
              <w:pStyle w:val="BodyText"/>
              <w:rPr>
                <w:lang w:val="en-NZ"/>
              </w:rPr>
            </w:pPr>
            <w:r w:rsidRPr="0094554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45545">
            <w:pPr>
              <w:pStyle w:val="BodyText"/>
              <w:rPr>
                <w:lang w:val="en-NZ"/>
              </w:rPr>
            </w:pPr>
            <w:r w:rsidRPr="00945545">
              <w:t>Performance criteria describe the performance needed to demonstrate achievement of the element.</w:t>
            </w:r>
          </w:p>
        </w:tc>
      </w:tr>
      <w:tr w:rsidTr="009455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45545" w:rsidP="00945545">
            <w:pPr>
              <w:pStyle w:val="BodyText"/>
            </w:pPr>
            <w:r w:rsidRPr="00945545">
              <w:t>1</w:t>
            </w:r>
          </w:p>
        </w:tc>
        <w:tc>
          <w:tcPr>
            <w:tcW w:w="1962" w:type="dxa"/>
            <w:vMerge w:val="restart"/>
            <w:tcBorders>
              <w:top w:val="nil"/>
              <w:left w:val="nil"/>
              <w:bottom w:val="nil"/>
              <w:right w:val="nil"/>
            </w:tcBorders>
            <w:tcMar>
              <w:top w:w="0" w:type="dxa"/>
              <w:left w:w="62" w:type="dxa"/>
              <w:bottom w:w="0" w:type="dxa"/>
              <w:right w:w="62" w:type="dxa"/>
            </w:tcMar>
          </w:tcPr>
          <w:p w:rsidR="00000000" w:rsidP="00945545">
            <w:pPr>
              <w:pStyle w:val="BodyText"/>
              <w:rPr>
                <w:lang w:val="en-NZ"/>
              </w:rPr>
            </w:pPr>
            <w:r w:rsidRPr="00945545">
              <w:rPr>
                <w:rStyle w:val="SpecialBold"/>
              </w:rPr>
              <w:t>Assess the suitability of available calibration procedures</w:t>
            </w:r>
          </w:p>
        </w:tc>
        <w:tc>
          <w:tcPr>
            <w:tcW w:w="770" w:type="dxa"/>
            <w:tcBorders>
              <w:top w:val="nil"/>
              <w:left w:val="nil"/>
              <w:bottom w:val="nil"/>
              <w:right w:val="nil"/>
            </w:tcBorders>
            <w:tcMar>
              <w:top w:w="0" w:type="dxa"/>
              <w:left w:w="62" w:type="dxa"/>
              <w:bottom w:w="0" w:type="dxa"/>
              <w:right w:w="62" w:type="dxa"/>
            </w:tcMar>
          </w:tcPr>
          <w:p w:rsidR="00000000" w:rsidP="00945545">
            <w:pPr>
              <w:pStyle w:val="BodyText"/>
              <w:rPr>
                <w:lang w:val="en-NZ"/>
              </w:rPr>
            </w:pPr>
            <w:r w:rsidRPr="00945545">
              <w:t>1.1</w:t>
            </w:r>
          </w:p>
        </w:tc>
        <w:tc>
          <w:tcPr>
            <w:tcW w:w="5610" w:type="dxa"/>
            <w:tcBorders>
              <w:top w:val="nil"/>
              <w:left w:val="nil"/>
              <w:bottom w:val="nil"/>
              <w:right w:val="nil"/>
            </w:tcBorders>
            <w:tcMar>
              <w:top w:w="0" w:type="dxa"/>
              <w:left w:w="62" w:type="dxa"/>
              <w:bottom w:w="0" w:type="dxa"/>
              <w:right w:w="62" w:type="dxa"/>
            </w:tcMar>
          </w:tcPr>
          <w:p w:rsidR="00000000" w:rsidP="00945545">
            <w:pPr>
              <w:pStyle w:val="BodyText"/>
              <w:rPr>
                <w:lang w:val="en-NZ"/>
              </w:rPr>
            </w:pPr>
            <w:r w:rsidRPr="00945545">
              <w:t>Confirm that the</w:t>
            </w:r>
            <w:r w:rsidRPr="00945545">
              <w:t xml:space="preserve"> authorised calibration procedure is not appropriate for intended use or requires modification </w:t>
            </w:r>
          </w:p>
        </w:tc>
      </w:tr>
      <w:tr w:rsidTr="009455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5545">
            <w:pPr>
              <w:pStyle w:val="BodyText"/>
              <w:rPr>
                <w:lang w:val="en-NZ"/>
              </w:rPr>
            </w:pPr>
            <w:r w:rsidRPr="00945545">
              <w:t>1.2</w:t>
            </w:r>
          </w:p>
        </w:tc>
        <w:tc>
          <w:tcPr>
            <w:tcW w:w="5610" w:type="dxa"/>
            <w:tcBorders>
              <w:top w:val="nil"/>
              <w:left w:val="nil"/>
              <w:bottom w:val="nil"/>
              <w:right w:val="nil"/>
            </w:tcBorders>
            <w:tcMar>
              <w:top w:w="0" w:type="dxa"/>
              <w:left w:w="62" w:type="dxa"/>
              <w:bottom w:w="0" w:type="dxa"/>
              <w:right w:w="62" w:type="dxa"/>
            </w:tcMar>
          </w:tcPr>
          <w:p w:rsidR="00000000" w:rsidP="00945545">
            <w:pPr>
              <w:pStyle w:val="BodyText"/>
              <w:rPr>
                <w:lang w:val="en-NZ"/>
              </w:rPr>
            </w:pPr>
            <w:r w:rsidRPr="00945545">
              <w:t>Research suitable alternative established calibration procedures, if available</w:t>
            </w:r>
          </w:p>
        </w:tc>
      </w:tr>
      <w:tr w:rsidTr="009455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5545">
            <w:pPr>
              <w:pStyle w:val="BodyText"/>
              <w:rPr>
                <w:lang w:val="en-NZ"/>
              </w:rPr>
            </w:pPr>
            <w:r w:rsidRPr="00945545">
              <w:t>1.3</w:t>
            </w:r>
          </w:p>
        </w:tc>
        <w:tc>
          <w:tcPr>
            <w:tcW w:w="5610" w:type="dxa"/>
            <w:tcBorders>
              <w:top w:val="nil"/>
              <w:left w:val="nil"/>
              <w:bottom w:val="nil"/>
              <w:right w:val="nil"/>
            </w:tcBorders>
            <w:tcMar>
              <w:top w:w="0" w:type="dxa"/>
              <w:left w:w="62" w:type="dxa"/>
              <w:bottom w:w="0" w:type="dxa"/>
              <w:right w:w="62" w:type="dxa"/>
            </w:tcMar>
          </w:tcPr>
          <w:p w:rsidR="00000000" w:rsidP="00945545">
            <w:pPr>
              <w:pStyle w:val="BodyText"/>
              <w:rPr>
                <w:lang w:val="en-NZ"/>
              </w:rPr>
            </w:pPr>
            <w:r w:rsidRPr="00945545">
              <w:t>Establish whether an available procedure can be customised or if a new procedure is needed</w:t>
            </w:r>
          </w:p>
        </w:tc>
      </w:tr>
      <w:tr w:rsidTr="009455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5545">
            <w:pPr>
              <w:pStyle w:val="BodyText"/>
              <w:rPr>
                <w:lang w:val="en-NZ"/>
              </w:rPr>
            </w:pPr>
            <w:r w:rsidRPr="00945545">
              <w:t>1.4</w:t>
            </w:r>
          </w:p>
        </w:tc>
        <w:tc>
          <w:tcPr>
            <w:tcW w:w="5610" w:type="dxa"/>
            <w:tcBorders>
              <w:top w:val="nil"/>
              <w:left w:val="nil"/>
              <w:bottom w:val="nil"/>
              <w:right w:val="nil"/>
            </w:tcBorders>
            <w:tcMar>
              <w:top w:w="0" w:type="dxa"/>
              <w:left w:w="62" w:type="dxa"/>
              <w:bottom w:w="0" w:type="dxa"/>
              <w:right w:w="62" w:type="dxa"/>
            </w:tcMar>
          </w:tcPr>
          <w:p w:rsidR="00000000" w:rsidP="00945545">
            <w:pPr>
              <w:pStyle w:val="BodyText"/>
              <w:rPr>
                <w:lang w:val="en-NZ"/>
              </w:rPr>
            </w:pPr>
            <w:r w:rsidRPr="00945545">
              <w:t>Obtain internal approval to develop or modify a calibration procedure, as necessary</w:t>
            </w:r>
          </w:p>
        </w:tc>
      </w:tr>
      <w:tr w:rsidTr="009455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5545">
            <w:pPr>
              <w:pStyle w:val="BodyText"/>
              <w:rPr>
                <w:lang w:val="en-NZ"/>
              </w:rPr>
            </w:pPr>
            <w:r w:rsidRPr="00945545">
              <w:t>1.5</w:t>
            </w:r>
          </w:p>
        </w:tc>
        <w:tc>
          <w:tcPr>
            <w:tcW w:w="5610" w:type="dxa"/>
            <w:tcBorders>
              <w:top w:val="nil"/>
              <w:left w:val="nil"/>
              <w:bottom w:val="nil"/>
              <w:right w:val="nil"/>
            </w:tcBorders>
            <w:tcMar>
              <w:top w:w="0" w:type="dxa"/>
              <w:left w:w="62" w:type="dxa"/>
              <w:bottom w:w="0" w:type="dxa"/>
              <w:right w:w="62" w:type="dxa"/>
            </w:tcMar>
          </w:tcPr>
          <w:p w:rsidR="00000000" w:rsidP="00945545">
            <w:pPr>
              <w:pStyle w:val="BodyText"/>
              <w:rPr>
                <w:lang w:val="en-NZ"/>
              </w:rPr>
            </w:pPr>
            <w:r w:rsidRPr="00945545">
              <w:t>Confirm that available resources meet all the requirements of the alternative or new procedure</w:t>
            </w:r>
          </w:p>
        </w:tc>
      </w:tr>
      <w:tr w:rsidTr="009455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5545">
            <w:pPr>
              <w:pStyle w:val="BodyText"/>
              <w:rPr>
                <w:lang w:val="en-NZ"/>
              </w:rPr>
            </w:pPr>
            <w:r w:rsidRPr="00945545">
              <w:t>1.6</w:t>
            </w:r>
          </w:p>
        </w:tc>
        <w:tc>
          <w:tcPr>
            <w:tcW w:w="5610" w:type="dxa"/>
            <w:tcBorders>
              <w:top w:val="nil"/>
              <w:left w:val="nil"/>
              <w:bottom w:val="nil"/>
              <w:right w:val="nil"/>
            </w:tcBorders>
            <w:tcMar>
              <w:top w:w="0" w:type="dxa"/>
              <w:left w:w="62" w:type="dxa"/>
              <w:bottom w:w="0" w:type="dxa"/>
              <w:right w:w="62" w:type="dxa"/>
            </w:tcMar>
          </w:tcPr>
          <w:p w:rsidR="00000000" w:rsidP="00945545">
            <w:pPr>
              <w:pStyle w:val="BodyText"/>
              <w:rPr>
                <w:lang w:val="en-NZ"/>
              </w:rPr>
            </w:pPr>
            <w:r w:rsidRPr="00945545">
              <w:t xml:space="preserve">Gain authorisation for any deviation from requirements previously agreed with client </w:t>
            </w:r>
          </w:p>
        </w:tc>
      </w:tr>
      <w:tr w:rsidTr="0094554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45545">
            <w:pPr>
              <w:pStyle w:val="BodyText"/>
              <w:rPr>
                <w:lang w:val="en-NZ"/>
              </w:rPr>
            </w:pPr>
          </w:p>
        </w:tc>
      </w:tr>
      <w:tr w:rsidTr="009455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45545" w:rsidP="00945545">
            <w:pPr>
              <w:pStyle w:val="BodyText"/>
            </w:pPr>
            <w:r w:rsidRPr="00945545">
              <w:t>2</w:t>
            </w:r>
          </w:p>
        </w:tc>
        <w:tc>
          <w:tcPr>
            <w:tcW w:w="1962" w:type="dxa"/>
            <w:vMerge w:val="restart"/>
            <w:tcBorders>
              <w:top w:val="nil"/>
              <w:left w:val="nil"/>
              <w:bottom w:val="nil"/>
              <w:right w:val="nil"/>
            </w:tcBorders>
            <w:tcMar>
              <w:top w:w="0" w:type="dxa"/>
              <w:left w:w="62" w:type="dxa"/>
              <w:bottom w:w="0" w:type="dxa"/>
              <w:right w:w="62" w:type="dxa"/>
            </w:tcMar>
          </w:tcPr>
          <w:p w:rsidR="00000000" w:rsidP="00945545">
            <w:pPr>
              <w:pStyle w:val="BodyText"/>
              <w:rPr>
                <w:lang w:val="en-NZ"/>
              </w:rPr>
            </w:pPr>
            <w:r w:rsidRPr="00945545">
              <w:rPr>
                <w:rStyle w:val="SpecialBold"/>
              </w:rPr>
              <w:t>Develop procedure</w:t>
            </w:r>
          </w:p>
        </w:tc>
        <w:tc>
          <w:tcPr>
            <w:tcW w:w="770" w:type="dxa"/>
            <w:tcBorders>
              <w:top w:val="nil"/>
              <w:left w:val="nil"/>
              <w:bottom w:val="nil"/>
              <w:right w:val="nil"/>
            </w:tcBorders>
            <w:tcMar>
              <w:top w:w="0" w:type="dxa"/>
              <w:left w:w="62" w:type="dxa"/>
              <w:bottom w:w="0" w:type="dxa"/>
              <w:right w:w="62" w:type="dxa"/>
            </w:tcMar>
          </w:tcPr>
          <w:p w:rsidR="00000000" w:rsidP="00945545">
            <w:pPr>
              <w:pStyle w:val="BodyText"/>
              <w:rPr>
                <w:lang w:val="en-NZ"/>
              </w:rPr>
            </w:pPr>
            <w:r w:rsidRPr="00945545">
              <w:t>2.1</w:t>
            </w:r>
          </w:p>
        </w:tc>
        <w:tc>
          <w:tcPr>
            <w:tcW w:w="5610" w:type="dxa"/>
            <w:tcBorders>
              <w:top w:val="nil"/>
              <w:left w:val="nil"/>
              <w:bottom w:val="nil"/>
              <w:right w:val="nil"/>
            </w:tcBorders>
            <w:tcMar>
              <w:top w:w="0" w:type="dxa"/>
              <w:left w:w="62" w:type="dxa"/>
              <w:bottom w:w="0" w:type="dxa"/>
              <w:right w:w="62" w:type="dxa"/>
            </w:tcMar>
          </w:tcPr>
          <w:p w:rsidR="00000000" w:rsidP="00945545">
            <w:pPr>
              <w:pStyle w:val="BodyText"/>
              <w:rPr>
                <w:lang w:val="en-NZ"/>
              </w:rPr>
            </w:pPr>
            <w:r w:rsidRPr="00945545">
              <w:t>Identify and document all relevant calibration data to be collected, including parameters and ranges to be tested</w:t>
            </w:r>
          </w:p>
        </w:tc>
      </w:tr>
      <w:tr w:rsidTr="009455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5545">
            <w:pPr>
              <w:pStyle w:val="BodyText"/>
              <w:rPr>
                <w:lang w:val="en-NZ"/>
              </w:rPr>
            </w:pPr>
            <w:r w:rsidRPr="00945545">
              <w:t>2.2</w:t>
            </w:r>
          </w:p>
        </w:tc>
        <w:tc>
          <w:tcPr>
            <w:tcW w:w="5610" w:type="dxa"/>
            <w:tcBorders>
              <w:top w:val="nil"/>
              <w:left w:val="nil"/>
              <w:bottom w:val="nil"/>
              <w:right w:val="nil"/>
            </w:tcBorders>
            <w:tcMar>
              <w:top w:w="0" w:type="dxa"/>
              <w:left w:w="62" w:type="dxa"/>
              <w:bottom w:w="0" w:type="dxa"/>
              <w:right w:w="62" w:type="dxa"/>
            </w:tcMar>
          </w:tcPr>
          <w:p w:rsidR="00000000" w:rsidP="00945545">
            <w:pPr>
              <w:pStyle w:val="BodyText"/>
              <w:rPr>
                <w:lang w:val="en-NZ"/>
              </w:rPr>
            </w:pPr>
            <w:r w:rsidRPr="00945545">
              <w:t xml:space="preserve">Describe all new instructions or modifications to methods to ensure repeatability of test </w:t>
            </w:r>
          </w:p>
        </w:tc>
      </w:tr>
      <w:tr w:rsidTr="009455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5545">
            <w:pPr>
              <w:pStyle w:val="BodyText"/>
              <w:rPr>
                <w:lang w:val="en-NZ"/>
              </w:rPr>
            </w:pPr>
            <w:r w:rsidRPr="00945545">
              <w:t>2.3</w:t>
            </w:r>
          </w:p>
        </w:tc>
        <w:tc>
          <w:tcPr>
            <w:tcW w:w="5610" w:type="dxa"/>
            <w:tcBorders>
              <w:top w:val="nil"/>
              <w:left w:val="nil"/>
              <w:bottom w:val="nil"/>
              <w:right w:val="nil"/>
            </w:tcBorders>
            <w:tcMar>
              <w:top w:w="0" w:type="dxa"/>
              <w:left w:w="62" w:type="dxa"/>
              <w:bottom w:w="0" w:type="dxa"/>
              <w:right w:w="62" w:type="dxa"/>
            </w:tcMar>
          </w:tcPr>
          <w:p w:rsidR="00000000" w:rsidP="00945545">
            <w:pPr>
              <w:pStyle w:val="BodyText"/>
              <w:rPr>
                <w:lang w:val="en-NZ"/>
              </w:rPr>
            </w:pPr>
            <w:r w:rsidRPr="00945545">
              <w:t>Document all hazards and safety measu</w:t>
            </w:r>
            <w:r w:rsidRPr="00945545">
              <w:t>res to be observed</w:t>
            </w:r>
          </w:p>
        </w:tc>
      </w:tr>
      <w:tr w:rsidTr="009455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5545">
            <w:pPr>
              <w:pStyle w:val="BodyText"/>
              <w:rPr>
                <w:lang w:val="en-NZ"/>
              </w:rPr>
            </w:pPr>
            <w:r w:rsidRPr="00945545">
              <w:t>2.4</w:t>
            </w:r>
          </w:p>
        </w:tc>
        <w:tc>
          <w:tcPr>
            <w:tcW w:w="5610" w:type="dxa"/>
            <w:tcBorders>
              <w:top w:val="nil"/>
              <w:left w:val="nil"/>
              <w:bottom w:val="nil"/>
              <w:right w:val="nil"/>
            </w:tcBorders>
            <w:tcMar>
              <w:top w:w="0" w:type="dxa"/>
              <w:left w:w="62" w:type="dxa"/>
              <w:bottom w:w="0" w:type="dxa"/>
              <w:right w:w="62" w:type="dxa"/>
            </w:tcMar>
          </w:tcPr>
          <w:p w:rsidR="00000000" w:rsidP="00945545">
            <w:pPr>
              <w:pStyle w:val="BodyText"/>
              <w:rPr>
                <w:lang w:val="en-NZ"/>
              </w:rPr>
            </w:pPr>
            <w:r w:rsidRPr="00945545">
              <w:t>Specify data to be recorded and produce a results template, if required</w:t>
            </w:r>
          </w:p>
        </w:tc>
      </w:tr>
      <w:tr w:rsidTr="009455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5545">
            <w:pPr>
              <w:pStyle w:val="BodyText"/>
              <w:rPr>
                <w:lang w:val="en-NZ"/>
              </w:rPr>
            </w:pPr>
            <w:r w:rsidRPr="00945545">
              <w:t>2.5</w:t>
            </w:r>
          </w:p>
        </w:tc>
        <w:tc>
          <w:tcPr>
            <w:tcW w:w="5610" w:type="dxa"/>
            <w:tcBorders>
              <w:top w:val="nil"/>
              <w:left w:val="nil"/>
              <w:bottom w:val="nil"/>
              <w:right w:val="nil"/>
            </w:tcBorders>
            <w:tcMar>
              <w:top w:w="0" w:type="dxa"/>
              <w:left w:w="62" w:type="dxa"/>
              <w:bottom w:w="0" w:type="dxa"/>
              <w:right w:w="62" w:type="dxa"/>
            </w:tcMar>
          </w:tcPr>
          <w:p w:rsidR="00000000" w:rsidP="00945545">
            <w:pPr>
              <w:pStyle w:val="BodyText"/>
              <w:rPr>
                <w:lang w:val="en-NZ"/>
              </w:rPr>
            </w:pPr>
            <w:r w:rsidRPr="00945545">
              <w:t>List the requirements for calibration approval and rejection</w:t>
            </w:r>
          </w:p>
        </w:tc>
      </w:tr>
      <w:tr w:rsidTr="009455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5545">
            <w:pPr>
              <w:pStyle w:val="BodyText"/>
              <w:rPr>
                <w:lang w:val="en-NZ"/>
              </w:rPr>
            </w:pPr>
            <w:r w:rsidRPr="00945545">
              <w:t>2.6</w:t>
            </w:r>
          </w:p>
        </w:tc>
        <w:tc>
          <w:tcPr>
            <w:tcW w:w="5610" w:type="dxa"/>
            <w:tcBorders>
              <w:top w:val="nil"/>
              <w:left w:val="nil"/>
              <w:bottom w:val="nil"/>
              <w:right w:val="nil"/>
            </w:tcBorders>
            <w:tcMar>
              <w:top w:w="0" w:type="dxa"/>
              <w:left w:w="62" w:type="dxa"/>
              <w:bottom w:w="0" w:type="dxa"/>
              <w:right w:w="62" w:type="dxa"/>
            </w:tcMar>
          </w:tcPr>
          <w:p w:rsidR="00000000" w:rsidP="00945545">
            <w:pPr>
              <w:pStyle w:val="BodyText"/>
              <w:rPr>
                <w:lang w:val="en-NZ"/>
              </w:rPr>
            </w:pPr>
            <w:r w:rsidRPr="00945545">
              <w:t>Confirm that all calibration requirements can be fulfilled by using the procedure</w:t>
            </w:r>
          </w:p>
        </w:tc>
      </w:tr>
      <w:tr w:rsidTr="0094554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45545">
            <w:pPr>
              <w:pStyle w:val="BodyText"/>
              <w:rPr>
                <w:lang w:val="en-NZ"/>
              </w:rPr>
            </w:pPr>
          </w:p>
        </w:tc>
      </w:tr>
      <w:tr w:rsidTr="009455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45545" w:rsidP="00945545">
            <w:pPr>
              <w:pStyle w:val="BodyText"/>
            </w:pPr>
            <w:r w:rsidRPr="00945545">
              <w:t>3</w:t>
            </w:r>
          </w:p>
        </w:tc>
        <w:tc>
          <w:tcPr>
            <w:tcW w:w="1962" w:type="dxa"/>
            <w:vMerge w:val="restart"/>
            <w:tcBorders>
              <w:top w:val="nil"/>
              <w:left w:val="nil"/>
              <w:bottom w:val="nil"/>
              <w:right w:val="nil"/>
            </w:tcBorders>
            <w:tcMar>
              <w:top w:w="0" w:type="dxa"/>
              <w:left w:w="62" w:type="dxa"/>
              <w:bottom w:w="0" w:type="dxa"/>
              <w:right w:w="62" w:type="dxa"/>
            </w:tcMar>
          </w:tcPr>
          <w:p w:rsidR="00000000" w:rsidP="00945545">
            <w:pPr>
              <w:pStyle w:val="BodyText"/>
              <w:rPr>
                <w:lang w:val="en-NZ"/>
              </w:rPr>
            </w:pPr>
            <w:r w:rsidRPr="00945545">
              <w:rPr>
                <w:rStyle w:val="SpecialBold"/>
              </w:rPr>
              <w:t xml:space="preserve">Prepare equipment for </w:t>
            </w:r>
            <w:r w:rsidRPr="00945545">
              <w:rPr>
                <w:rStyle w:val="SpecialBold"/>
              </w:rPr>
              <w:t>testing</w:t>
            </w:r>
          </w:p>
        </w:tc>
        <w:tc>
          <w:tcPr>
            <w:tcW w:w="770" w:type="dxa"/>
            <w:tcBorders>
              <w:top w:val="nil"/>
              <w:left w:val="nil"/>
              <w:bottom w:val="nil"/>
              <w:right w:val="nil"/>
            </w:tcBorders>
            <w:tcMar>
              <w:top w:w="0" w:type="dxa"/>
              <w:left w:w="62" w:type="dxa"/>
              <w:bottom w:w="0" w:type="dxa"/>
              <w:right w:w="62" w:type="dxa"/>
            </w:tcMar>
          </w:tcPr>
          <w:p w:rsidR="00000000" w:rsidP="00945545">
            <w:pPr>
              <w:pStyle w:val="BodyText"/>
              <w:rPr>
                <w:lang w:val="en-NZ"/>
              </w:rPr>
            </w:pPr>
            <w:r w:rsidRPr="00945545">
              <w:t>3.1</w:t>
            </w:r>
          </w:p>
        </w:tc>
        <w:tc>
          <w:tcPr>
            <w:tcW w:w="5610" w:type="dxa"/>
            <w:tcBorders>
              <w:top w:val="nil"/>
              <w:left w:val="nil"/>
              <w:bottom w:val="nil"/>
              <w:right w:val="nil"/>
            </w:tcBorders>
            <w:tcMar>
              <w:top w:w="0" w:type="dxa"/>
              <w:left w:w="62" w:type="dxa"/>
              <w:bottom w:w="0" w:type="dxa"/>
              <w:right w:w="62" w:type="dxa"/>
            </w:tcMar>
          </w:tcPr>
          <w:p w:rsidR="00000000" w:rsidP="00945545">
            <w:pPr>
              <w:pStyle w:val="BodyText"/>
              <w:rPr>
                <w:lang w:val="en-NZ"/>
              </w:rPr>
            </w:pPr>
            <w:r w:rsidRPr="00945545">
              <w:t>Use the appropriate personal protective equipment (PPE), safety equipment and procedures</w:t>
            </w:r>
          </w:p>
        </w:tc>
      </w:tr>
      <w:tr w:rsidTr="009455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5545">
            <w:pPr>
              <w:pStyle w:val="BodyText"/>
              <w:rPr>
                <w:lang w:val="en-NZ"/>
              </w:rPr>
            </w:pPr>
            <w:r w:rsidRPr="00945545">
              <w:t>3.2</w:t>
            </w:r>
          </w:p>
        </w:tc>
        <w:tc>
          <w:tcPr>
            <w:tcW w:w="5610" w:type="dxa"/>
            <w:tcBorders>
              <w:top w:val="nil"/>
              <w:left w:val="nil"/>
              <w:bottom w:val="nil"/>
              <w:right w:val="nil"/>
            </w:tcBorders>
            <w:tcMar>
              <w:top w:w="0" w:type="dxa"/>
              <w:left w:w="62" w:type="dxa"/>
              <w:bottom w:w="0" w:type="dxa"/>
              <w:right w:w="62" w:type="dxa"/>
            </w:tcMar>
          </w:tcPr>
          <w:p w:rsidR="00000000" w:rsidP="00945545">
            <w:pPr>
              <w:pStyle w:val="BodyText"/>
              <w:rPr>
                <w:lang w:val="en-NZ"/>
              </w:rPr>
            </w:pPr>
            <w:r w:rsidRPr="00945545">
              <w:t>Assemble and set up reference standards and associated equipment prior to testing</w:t>
            </w:r>
          </w:p>
        </w:tc>
      </w:tr>
      <w:tr w:rsidTr="009455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5545">
            <w:pPr>
              <w:pStyle w:val="BodyText"/>
              <w:rPr>
                <w:lang w:val="en-NZ"/>
              </w:rPr>
            </w:pPr>
            <w:r w:rsidRPr="00945545">
              <w:t>3.3</w:t>
            </w:r>
          </w:p>
        </w:tc>
        <w:tc>
          <w:tcPr>
            <w:tcW w:w="5610" w:type="dxa"/>
            <w:tcBorders>
              <w:top w:val="nil"/>
              <w:left w:val="nil"/>
              <w:bottom w:val="nil"/>
              <w:right w:val="nil"/>
            </w:tcBorders>
            <w:tcMar>
              <w:top w:w="0" w:type="dxa"/>
              <w:left w:w="62" w:type="dxa"/>
              <w:bottom w:w="0" w:type="dxa"/>
              <w:right w:w="62" w:type="dxa"/>
            </w:tcMar>
          </w:tcPr>
          <w:p w:rsidR="00000000" w:rsidP="00945545">
            <w:pPr>
              <w:pStyle w:val="BodyText"/>
              <w:rPr>
                <w:lang w:val="en-NZ"/>
              </w:rPr>
            </w:pPr>
            <w:r w:rsidRPr="00945545">
              <w:t>Verify performance of reference standards and measuring equipment prior to use and adjust or calibrate as necessary</w:t>
            </w:r>
          </w:p>
        </w:tc>
      </w:tr>
      <w:tr w:rsidTr="009455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5545">
            <w:pPr>
              <w:pStyle w:val="BodyText"/>
              <w:rPr>
                <w:lang w:val="en-NZ"/>
              </w:rPr>
            </w:pPr>
            <w:r w:rsidRPr="00945545">
              <w:t>3.4</w:t>
            </w:r>
          </w:p>
        </w:tc>
        <w:tc>
          <w:tcPr>
            <w:tcW w:w="5610" w:type="dxa"/>
            <w:tcBorders>
              <w:top w:val="nil"/>
              <w:left w:val="nil"/>
              <w:bottom w:val="nil"/>
              <w:right w:val="nil"/>
            </w:tcBorders>
            <w:tcMar>
              <w:top w:w="0" w:type="dxa"/>
              <w:left w:w="62" w:type="dxa"/>
              <w:bottom w:w="0" w:type="dxa"/>
              <w:right w:w="62" w:type="dxa"/>
            </w:tcMar>
          </w:tcPr>
          <w:p w:rsidR="00000000" w:rsidP="00945545">
            <w:pPr>
              <w:pStyle w:val="BodyText"/>
              <w:rPr>
                <w:lang w:val="en-NZ"/>
              </w:rPr>
            </w:pPr>
            <w:r w:rsidRPr="00945545">
              <w:t>Identify and minimise potential sources of measurement error</w:t>
            </w:r>
          </w:p>
        </w:tc>
      </w:tr>
      <w:tr w:rsidTr="0094554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45545">
            <w:pPr>
              <w:pStyle w:val="BodyText"/>
              <w:rPr>
                <w:lang w:val="en-NZ"/>
              </w:rPr>
            </w:pPr>
          </w:p>
        </w:tc>
      </w:tr>
      <w:tr w:rsidTr="009455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45545" w:rsidP="00945545">
            <w:pPr>
              <w:pStyle w:val="BodyText"/>
            </w:pPr>
            <w:r w:rsidRPr="00945545">
              <w:t>4</w:t>
            </w:r>
          </w:p>
        </w:tc>
        <w:tc>
          <w:tcPr>
            <w:tcW w:w="1962" w:type="dxa"/>
            <w:vMerge w:val="restart"/>
            <w:tcBorders>
              <w:top w:val="nil"/>
              <w:left w:val="nil"/>
              <w:bottom w:val="nil"/>
              <w:right w:val="nil"/>
            </w:tcBorders>
            <w:tcMar>
              <w:top w:w="0" w:type="dxa"/>
              <w:left w:w="62" w:type="dxa"/>
              <w:bottom w:w="0" w:type="dxa"/>
              <w:right w:w="62" w:type="dxa"/>
            </w:tcMar>
          </w:tcPr>
          <w:p w:rsidR="00000000" w:rsidP="00945545">
            <w:pPr>
              <w:pStyle w:val="BodyText"/>
              <w:rPr>
                <w:lang w:val="en-NZ"/>
              </w:rPr>
            </w:pPr>
            <w:r w:rsidRPr="00945545">
              <w:rPr>
                <w:rStyle w:val="SpecialBold"/>
              </w:rPr>
              <w:t>Trial modified or new calibration procedure</w:t>
            </w:r>
          </w:p>
        </w:tc>
        <w:tc>
          <w:tcPr>
            <w:tcW w:w="770" w:type="dxa"/>
            <w:tcBorders>
              <w:top w:val="nil"/>
              <w:left w:val="nil"/>
              <w:bottom w:val="nil"/>
              <w:right w:val="nil"/>
            </w:tcBorders>
            <w:tcMar>
              <w:top w:w="0" w:type="dxa"/>
              <w:left w:w="62" w:type="dxa"/>
              <w:bottom w:w="0" w:type="dxa"/>
              <w:right w:w="62" w:type="dxa"/>
            </w:tcMar>
          </w:tcPr>
          <w:p w:rsidR="00000000" w:rsidP="00945545">
            <w:pPr>
              <w:pStyle w:val="BodyText"/>
              <w:rPr>
                <w:lang w:val="en-NZ"/>
              </w:rPr>
            </w:pPr>
            <w:r w:rsidRPr="00945545">
              <w:t>4.1</w:t>
            </w:r>
          </w:p>
        </w:tc>
        <w:tc>
          <w:tcPr>
            <w:tcW w:w="5610" w:type="dxa"/>
            <w:tcBorders>
              <w:top w:val="nil"/>
              <w:left w:val="nil"/>
              <w:bottom w:val="nil"/>
              <w:right w:val="nil"/>
            </w:tcBorders>
            <w:tcMar>
              <w:top w:w="0" w:type="dxa"/>
              <w:left w:w="62" w:type="dxa"/>
              <w:bottom w:w="0" w:type="dxa"/>
              <w:right w:w="62" w:type="dxa"/>
            </w:tcMar>
          </w:tcPr>
          <w:p w:rsidR="00000000" w:rsidP="00945545">
            <w:pPr>
              <w:pStyle w:val="BodyText"/>
              <w:rPr>
                <w:lang w:val="en-NZ"/>
              </w:rPr>
            </w:pPr>
            <w:r w:rsidRPr="00945545">
              <w:t>Perform individual steps and confirm they are adequately documented to ensure repeatability of measurement</w:t>
            </w:r>
          </w:p>
        </w:tc>
      </w:tr>
      <w:tr w:rsidTr="009455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5545">
            <w:pPr>
              <w:pStyle w:val="BodyText"/>
              <w:rPr>
                <w:lang w:val="en-NZ"/>
              </w:rPr>
            </w:pPr>
            <w:r w:rsidRPr="00945545">
              <w:t>4.2</w:t>
            </w:r>
          </w:p>
        </w:tc>
        <w:tc>
          <w:tcPr>
            <w:tcW w:w="5610" w:type="dxa"/>
            <w:tcBorders>
              <w:top w:val="nil"/>
              <w:left w:val="nil"/>
              <w:bottom w:val="nil"/>
              <w:right w:val="nil"/>
            </w:tcBorders>
            <w:tcMar>
              <w:top w:w="0" w:type="dxa"/>
              <w:left w:w="62" w:type="dxa"/>
              <w:bottom w:w="0" w:type="dxa"/>
              <w:right w:w="62" w:type="dxa"/>
            </w:tcMar>
          </w:tcPr>
          <w:p w:rsidR="00000000" w:rsidP="00945545">
            <w:pPr>
              <w:pStyle w:val="BodyText"/>
              <w:rPr>
                <w:lang w:val="en-NZ"/>
              </w:rPr>
            </w:pPr>
            <w:r w:rsidRPr="00945545">
              <w:t xml:space="preserve">Critically analyse readings to confirm they are the result of a valid measurement and record data as required </w:t>
            </w:r>
          </w:p>
        </w:tc>
      </w:tr>
      <w:tr w:rsidTr="009455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5545">
            <w:pPr>
              <w:pStyle w:val="BodyText"/>
              <w:rPr>
                <w:lang w:val="en-NZ"/>
              </w:rPr>
            </w:pPr>
            <w:r w:rsidRPr="00945545">
              <w:t>4.3</w:t>
            </w:r>
          </w:p>
        </w:tc>
        <w:tc>
          <w:tcPr>
            <w:tcW w:w="5610" w:type="dxa"/>
            <w:tcBorders>
              <w:top w:val="nil"/>
              <w:left w:val="nil"/>
              <w:bottom w:val="nil"/>
              <w:right w:val="nil"/>
            </w:tcBorders>
            <w:tcMar>
              <w:top w:w="0" w:type="dxa"/>
              <w:left w:w="62" w:type="dxa"/>
              <w:bottom w:w="0" w:type="dxa"/>
              <w:right w:w="62" w:type="dxa"/>
            </w:tcMar>
          </w:tcPr>
          <w:p w:rsidR="00000000" w:rsidP="00945545">
            <w:pPr>
              <w:pStyle w:val="BodyText"/>
              <w:rPr>
                <w:lang w:val="en-NZ"/>
              </w:rPr>
            </w:pPr>
            <w:r w:rsidRPr="00945545">
              <w:t>Adjust device under test</w:t>
            </w:r>
            <w:r w:rsidRPr="00945545">
              <w:t xml:space="preserve"> to bring readings within tolerance and record results</w:t>
            </w:r>
          </w:p>
        </w:tc>
      </w:tr>
      <w:tr w:rsidTr="009455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5545">
            <w:pPr>
              <w:pStyle w:val="BodyText"/>
              <w:rPr>
                <w:lang w:val="en-NZ"/>
              </w:rPr>
            </w:pPr>
            <w:r w:rsidRPr="00945545">
              <w:t>4.4</w:t>
            </w:r>
          </w:p>
        </w:tc>
        <w:tc>
          <w:tcPr>
            <w:tcW w:w="5610" w:type="dxa"/>
            <w:tcBorders>
              <w:top w:val="nil"/>
              <w:left w:val="nil"/>
              <w:bottom w:val="nil"/>
              <w:right w:val="nil"/>
            </w:tcBorders>
            <w:tcMar>
              <w:top w:w="0" w:type="dxa"/>
              <w:left w:w="62" w:type="dxa"/>
              <w:bottom w:w="0" w:type="dxa"/>
              <w:right w:w="62" w:type="dxa"/>
            </w:tcMar>
          </w:tcPr>
          <w:p w:rsidR="00000000" w:rsidP="00945545">
            <w:pPr>
              <w:pStyle w:val="BodyText"/>
              <w:rPr>
                <w:lang w:val="en-NZ"/>
              </w:rPr>
            </w:pPr>
            <w:r w:rsidRPr="00945545">
              <w:t xml:space="preserve">Analyse the resulting test data to detect trends or inconsistencies that may significantly affect the accuracy or validity of test results </w:t>
            </w:r>
          </w:p>
        </w:tc>
      </w:tr>
      <w:tr w:rsidTr="0094554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45545">
            <w:pPr>
              <w:pStyle w:val="BodyText"/>
              <w:rPr>
                <w:lang w:val="en-NZ"/>
              </w:rPr>
            </w:pPr>
          </w:p>
        </w:tc>
      </w:tr>
      <w:tr w:rsidTr="009455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45545" w:rsidP="00945545">
            <w:pPr>
              <w:pStyle w:val="BodyText"/>
            </w:pPr>
            <w:r w:rsidRPr="00945545">
              <w:t>5</w:t>
            </w:r>
          </w:p>
        </w:tc>
        <w:tc>
          <w:tcPr>
            <w:tcW w:w="1962" w:type="dxa"/>
            <w:vMerge w:val="restart"/>
            <w:tcBorders>
              <w:top w:val="nil"/>
              <w:left w:val="nil"/>
              <w:bottom w:val="nil"/>
              <w:right w:val="nil"/>
            </w:tcBorders>
            <w:tcMar>
              <w:top w:w="0" w:type="dxa"/>
              <w:left w:w="62" w:type="dxa"/>
              <w:bottom w:w="0" w:type="dxa"/>
              <w:right w:w="62" w:type="dxa"/>
            </w:tcMar>
          </w:tcPr>
          <w:p w:rsidR="00000000" w:rsidP="00945545">
            <w:pPr>
              <w:pStyle w:val="BodyText"/>
              <w:rPr>
                <w:lang w:val="en-NZ"/>
              </w:rPr>
            </w:pPr>
            <w:r w:rsidRPr="00945545">
              <w:rPr>
                <w:rStyle w:val="SpecialBold"/>
              </w:rPr>
              <w:t>Confirm the modified or new procedure is fit for purpose</w:t>
            </w:r>
          </w:p>
        </w:tc>
        <w:tc>
          <w:tcPr>
            <w:tcW w:w="770" w:type="dxa"/>
            <w:tcBorders>
              <w:top w:val="nil"/>
              <w:left w:val="nil"/>
              <w:bottom w:val="nil"/>
              <w:right w:val="nil"/>
            </w:tcBorders>
            <w:tcMar>
              <w:top w:w="0" w:type="dxa"/>
              <w:left w:w="62" w:type="dxa"/>
              <w:bottom w:w="0" w:type="dxa"/>
              <w:right w:w="62" w:type="dxa"/>
            </w:tcMar>
          </w:tcPr>
          <w:p w:rsidR="00000000" w:rsidP="00945545">
            <w:pPr>
              <w:pStyle w:val="BodyText"/>
              <w:rPr>
                <w:lang w:val="en-NZ"/>
              </w:rPr>
            </w:pPr>
            <w:r w:rsidRPr="00945545">
              <w:t>5.1</w:t>
            </w:r>
          </w:p>
        </w:tc>
        <w:tc>
          <w:tcPr>
            <w:tcW w:w="5610" w:type="dxa"/>
            <w:tcBorders>
              <w:top w:val="nil"/>
              <w:left w:val="nil"/>
              <w:bottom w:val="nil"/>
              <w:right w:val="nil"/>
            </w:tcBorders>
            <w:tcMar>
              <w:top w:w="0" w:type="dxa"/>
              <w:left w:w="62" w:type="dxa"/>
              <w:bottom w:w="0" w:type="dxa"/>
              <w:right w:w="62" w:type="dxa"/>
            </w:tcMar>
          </w:tcPr>
          <w:p w:rsidR="00000000" w:rsidP="00945545">
            <w:pPr>
              <w:pStyle w:val="BodyText"/>
              <w:rPr>
                <w:lang w:val="en-NZ"/>
              </w:rPr>
            </w:pPr>
            <w:r w:rsidRPr="00945545">
              <w:t>Compare results achieved with those from other calibration procedures</w:t>
            </w:r>
          </w:p>
        </w:tc>
      </w:tr>
      <w:tr w:rsidTr="009455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5545">
            <w:pPr>
              <w:pStyle w:val="BodyText"/>
              <w:rPr>
                <w:lang w:val="en-NZ"/>
              </w:rPr>
            </w:pPr>
            <w:r w:rsidRPr="00945545">
              <w:t>5.2</w:t>
            </w:r>
          </w:p>
        </w:tc>
        <w:tc>
          <w:tcPr>
            <w:tcW w:w="5610" w:type="dxa"/>
            <w:tcBorders>
              <w:top w:val="nil"/>
              <w:left w:val="nil"/>
              <w:bottom w:val="nil"/>
              <w:right w:val="nil"/>
            </w:tcBorders>
            <w:tcMar>
              <w:top w:w="0" w:type="dxa"/>
              <w:left w:w="62" w:type="dxa"/>
              <w:bottom w:w="0" w:type="dxa"/>
              <w:right w:w="62" w:type="dxa"/>
            </w:tcMar>
          </w:tcPr>
          <w:p w:rsidR="00000000" w:rsidP="00945545">
            <w:pPr>
              <w:pStyle w:val="BodyText"/>
              <w:rPr>
                <w:lang w:val="en-NZ"/>
              </w:rPr>
            </w:pPr>
            <w:r w:rsidRPr="00945545">
              <w:t>Systematically analyse all measurement and environmental factors that may influence the result and take corrective action, if necessary</w:t>
            </w:r>
          </w:p>
        </w:tc>
      </w:tr>
      <w:tr w:rsidTr="009455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5545">
            <w:pPr>
              <w:pStyle w:val="BodyText"/>
              <w:rPr>
                <w:lang w:val="en-NZ"/>
              </w:rPr>
            </w:pPr>
            <w:r w:rsidRPr="00945545">
              <w:t>5.3</w:t>
            </w:r>
          </w:p>
        </w:tc>
        <w:tc>
          <w:tcPr>
            <w:tcW w:w="5610" w:type="dxa"/>
            <w:tcBorders>
              <w:top w:val="nil"/>
              <w:left w:val="nil"/>
              <w:bottom w:val="nil"/>
              <w:right w:val="nil"/>
            </w:tcBorders>
            <w:tcMar>
              <w:top w:w="0" w:type="dxa"/>
              <w:left w:w="62" w:type="dxa"/>
              <w:bottom w:w="0" w:type="dxa"/>
              <w:right w:w="62" w:type="dxa"/>
            </w:tcMar>
          </w:tcPr>
          <w:p w:rsidR="00000000" w:rsidP="00945545">
            <w:pPr>
              <w:pStyle w:val="BodyText"/>
              <w:rPr>
                <w:lang w:val="en-NZ"/>
              </w:rPr>
            </w:pPr>
            <w:r w:rsidRPr="00945545">
              <w:t>Arrange for internal peer checking of calibration procedure, data and results and incorporate feedback</w:t>
            </w:r>
          </w:p>
        </w:tc>
      </w:tr>
      <w:tr w:rsidTr="009455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5545">
            <w:pPr>
              <w:pStyle w:val="BodyText"/>
              <w:rPr>
                <w:lang w:val="en-NZ"/>
              </w:rPr>
            </w:pPr>
            <w:r w:rsidRPr="00945545">
              <w:t>5.4</w:t>
            </w:r>
          </w:p>
        </w:tc>
        <w:tc>
          <w:tcPr>
            <w:tcW w:w="5610" w:type="dxa"/>
            <w:tcBorders>
              <w:top w:val="nil"/>
              <w:left w:val="nil"/>
              <w:bottom w:val="nil"/>
              <w:right w:val="nil"/>
            </w:tcBorders>
            <w:tcMar>
              <w:top w:w="0" w:type="dxa"/>
              <w:left w:w="62" w:type="dxa"/>
              <w:bottom w:w="0" w:type="dxa"/>
              <w:right w:w="62" w:type="dxa"/>
            </w:tcMar>
          </w:tcPr>
          <w:p w:rsidR="00000000" w:rsidP="00945545">
            <w:pPr>
              <w:pStyle w:val="BodyText"/>
              <w:rPr>
                <w:lang w:val="en-NZ"/>
              </w:rPr>
            </w:pPr>
            <w:r w:rsidRPr="00945545">
              <w:t>Qua</w:t>
            </w:r>
            <w:r w:rsidRPr="00945545">
              <w:t>ntify the uncertainties of results obtained by analysing equipment specifications and test methodology</w:t>
            </w:r>
          </w:p>
        </w:tc>
      </w:tr>
      <w:tr w:rsidTr="009455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5545">
            <w:pPr>
              <w:pStyle w:val="BodyText"/>
              <w:rPr>
                <w:lang w:val="en-NZ"/>
              </w:rPr>
            </w:pPr>
            <w:r w:rsidRPr="00945545">
              <w:t>5.5</w:t>
            </w:r>
          </w:p>
        </w:tc>
        <w:tc>
          <w:tcPr>
            <w:tcW w:w="5610" w:type="dxa"/>
            <w:tcBorders>
              <w:top w:val="nil"/>
              <w:left w:val="nil"/>
              <w:bottom w:val="nil"/>
              <w:right w:val="nil"/>
            </w:tcBorders>
            <w:tcMar>
              <w:top w:w="0" w:type="dxa"/>
              <w:left w:w="62" w:type="dxa"/>
              <w:bottom w:w="0" w:type="dxa"/>
              <w:right w:w="62" w:type="dxa"/>
            </w:tcMar>
          </w:tcPr>
          <w:p w:rsidR="00000000" w:rsidP="00945545">
            <w:pPr>
              <w:pStyle w:val="BodyText"/>
              <w:rPr>
                <w:lang w:val="en-NZ"/>
              </w:rPr>
            </w:pPr>
            <w:r w:rsidRPr="00945545">
              <w:t>Compare results with those obtained by other laboratories, if applicable</w:t>
            </w:r>
          </w:p>
        </w:tc>
      </w:tr>
      <w:tr w:rsidTr="009455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5545">
            <w:pPr>
              <w:pStyle w:val="BodyText"/>
              <w:rPr>
                <w:lang w:val="en-NZ"/>
              </w:rPr>
            </w:pPr>
            <w:r w:rsidRPr="00945545">
              <w:t>5.6</w:t>
            </w:r>
          </w:p>
        </w:tc>
        <w:tc>
          <w:tcPr>
            <w:tcW w:w="5610" w:type="dxa"/>
            <w:tcBorders>
              <w:top w:val="nil"/>
              <w:left w:val="nil"/>
              <w:bottom w:val="nil"/>
              <w:right w:val="nil"/>
            </w:tcBorders>
            <w:tcMar>
              <w:top w:w="0" w:type="dxa"/>
              <w:left w:w="62" w:type="dxa"/>
              <w:bottom w:w="0" w:type="dxa"/>
              <w:right w:w="62" w:type="dxa"/>
            </w:tcMar>
          </w:tcPr>
          <w:p w:rsidR="00000000" w:rsidP="00945545">
            <w:pPr>
              <w:pStyle w:val="BodyText"/>
              <w:rPr>
                <w:lang w:val="en-NZ"/>
              </w:rPr>
            </w:pPr>
            <w:r w:rsidRPr="00945545">
              <w:t>Confirm that the modified or new procedure is fit for purpose and relevant to the client</w:t>
            </w:r>
            <w:r>
              <w:t>’</w:t>
            </w:r>
            <w:r w:rsidRPr="00945545">
              <w:t>s needs and document as necessary</w:t>
            </w:r>
          </w:p>
        </w:tc>
      </w:tr>
      <w:tr w:rsidTr="0094554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45545">
            <w:pPr>
              <w:pStyle w:val="BodyText"/>
              <w:rPr>
                <w:lang w:val="en-NZ"/>
              </w:rPr>
            </w:pPr>
          </w:p>
        </w:tc>
      </w:tr>
      <w:tr w:rsidTr="009455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45545" w:rsidP="00945545">
            <w:pPr>
              <w:pStyle w:val="BodyText"/>
            </w:pPr>
            <w:r w:rsidRPr="00945545">
              <w:t>6</w:t>
            </w:r>
          </w:p>
        </w:tc>
        <w:tc>
          <w:tcPr>
            <w:tcW w:w="1962" w:type="dxa"/>
            <w:vMerge w:val="restart"/>
            <w:tcBorders>
              <w:top w:val="nil"/>
              <w:left w:val="nil"/>
              <w:bottom w:val="nil"/>
              <w:right w:val="nil"/>
            </w:tcBorders>
            <w:tcMar>
              <w:top w:w="0" w:type="dxa"/>
              <w:left w:w="62" w:type="dxa"/>
              <w:bottom w:w="0" w:type="dxa"/>
              <w:right w:w="62" w:type="dxa"/>
            </w:tcMar>
          </w:tcPr>
          <w:p w:rsidR="00000000" w:rsidP="00945545">
            <w:pPr>
              <w:pStyle w:val="BodyText"/>
              <w:rPr>
                <w:lang w:val="en-NZ"/>
              </w:rPr>
            </w:pPr>
            <w:r w:rsidRPr="00945545">
              <w:rPr>
                <w:rStyle w:val="SpecialBold"/>
              </w:rPr>
              <w:t>Document and review modified or new calibration procedure</w:t>
            </w:r>
          </w:p>
        </w:tc>
        <w:tc>
          <w:tcPr>
            <w:tcW w:w="770" w:type="dxa"/>
            <w:tcBorders>
              <w:top w:val="nil"/>
              <w:left w:val="nil"/>
              <w:bottom w:val="nil"/>
              <w:right w:val="nil"/>
            </w:tcBorders>
            <w:tcMar>
              <w:top w:w="0" w:type="dxa"/>
              <w:left w:w="62" w:type="dxa"/>
              <w:bottom w:w="0" w:type="dxa"/>
              <w:right w:w="62" w:type="dxa"/>
            </w:tcMar>
          </w:tcPr>
          <w:p w:rsidR="00000000" w:rsidP="00945545">
            <w:pPr>
              <w:pStyle w:val="BodyText"/>
              <w:rPr>
                <w:lang w:val="en-NZ"/>
              </w:rPr>
            </w:pPr>
            <w:r w:rsidRPr="00945545">
              <w:t>6.1</w:t>
            </w:r>
          </w:p>
        </w:tc>
        <w:tc>
          <w:tcPr>
            <w:tcW w:w="5610" w:type="dxa"/>
            <w:tcBorders>
              <w:top w:val="nil"/>
              <w:left w:val="nil"/>
              <w:bottom w:val="nil"/>
              <w:right w:val="nil"/>
            </w:tcBorders>
            <w:tcMar>
              <w:top w:w="0" w:type="dxa"/>
              <w:left w:w="62" w:type="dxa"/>
              <w:bottom w:w="0" w:type="dxa"/>
              <w:right w:w="62" w:type="dxa"/>
            </w:tcMar>
          </w:tcPr>
          <w:p w:rsidR="00000000" w:rsidP="00945545">
            <w:pPr>
              <w:pStyle w:val="BodyText"/>
              <w:rPr>
                <w:lang w:val="en-NZ"/>
              </w:rPr>
            </w:pPr>
            <w:r w:rsidRPr="00945545">
              <w:t>Ensure that the procedure is written in accordance with workplace procedures or statutory and regulatory requirements</w:t>
            </w:r>
          </w:p>
        </w:tc>
      </w:tr>
      <w:tr w:rsidTr="009455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5545">
            <w:pPr>
              <w:pStyle w:val="BodyText"/>
              <w:rPr>
                <w:lang w:val="en-NZ"/>
              </w:rPr>
            </w:pPr>
            <w:r w:rsidRPr="00945545">
              <w:t>6.2</w:t>
            </w:r>
          </w:p>
        </w:tc>
        <w:tc>
          <w:tcPr>
            <w:tcW w:w="5610" w:type="dxa"/>
            <w:tcBorders>
              <w:top w:val="nil"/>
              <w:left w:val="nil"/>
              <w:bottom w:val="nil"/>
              <w:right w:val="nil"/>
            </w:tcBorders>
            <w:tcMar>
              <w:top w:w="0" w:type="dxa"/>
              <w:left w:w="62" w:type="dxa"/>
              <w:bottom w:w="0" w:type="dxa"/>
              <w:right w:w="62" w:type="dxa"/>
            </w:tcMar>
          </w:tcPr>
          <w:p w:rsidR="00000000" w:rsidP="00945545">
            <w:pPr>
              <w:pStyle w:val="BodyText"/>
              <w:rPr>
                <w:lang w:val="en-NZ"/>
              </w:rPr>
            </w:pPr>
            <w:r w:rsidRPr="00945545">
              <w:t>Ensure that the procedure has been reviewed in accordance with workplace procedures</w:t>
            </w:r>
          </w:p>
        </w:tc>
      </w:tr>
      <w:tr w:rsidTr="009455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5545">
            <w:pPr>
              <w:pStyle w:val="BodyText"/>
              <w:rPr>
                <w:lang w:val="en-NZ"/>
              </w:rPr>
            </w:pPr>
            <w:r w:rsidRPr="00945545">
              <w:t>6.3</w:t>
            </w:r>
          </w:p>
        </w:tc>
        <w:tc>
          <w:tcPr>
            <w:tcW w:w="5610" w:type="dxa"/>
            <w:tcBorders>
              <w:top w:val="nil"/>
              <w:left w:val="nil"/>
              <w:bottom w:val="nil"/>
              <w:right w:val="nil"/>
            </w:tcBorders>
            <w:tcMar>
              <w:top w:w="0" w:type="dxa"/>
              <w:left w:w="62" w:type="dxa"/>
              <w:bottom w:w="0" w:type="dxa"/>
              <w:right w:w="62" w:type="dxa"/>
            </w:tcMar>
          </w:tcPr>
          <w:p w:rsidR="00000000" w:rsidRPr="00945545" w:rsidP="00945545">
            <w:pPr>
              <w:pStyle w:val="BodyText"/>
            </w:pPr>
            <w:r w:rsidRPr="00945545">
              <w:t>Report and present the procedure to appr</w:t>
            </w:r>
            <w:r w:rsidRPr="00945545">
              <w:t>opriate personnel for validation before use</w:t>
            </w:r>
          </w:p>
        </w:tc>
      </w:tr>
    </w:tbl>
    <w:p w:rsidR="00000000" w:rsidRPr="00945545" w:rsidP="00945545">
      <w:pPr>
        <w:pStyle w:val="BodyText"/>
      </w:pPr>
    </w:p>
    <w:p w:rsidR="00000000" w:rsidRPr="00945545" w:rsidP="00945545">
      <w:pPr>
        <w:pStyle w:val="AllowPageBreak"/>
      </w:pPr>
    </w:p>
    <w:p w:rsidR="00000000" w:rsidRPr="00945545" w:rsidP="00945545">
      <w:pPr>
        <w:pStyle w:val="Heading1"/>
      </w:pPr>
      <w:bookmarkStart w:id="7" w:name="O_902753"/>
      <w:bookmarkEnd w:id="7"/>
      <w:r w:rsidRPr="00945545">
        <w:t>Foundation Skills</w:t>
      </w:r>
    </w:p>
    <w:p w:rsidR="00000000" w:rsidRPr="00945545" w:rsidP="00984149">
      <w:pPr>
        <w:pStyle w:val="BodyText"/>
      </w:pPr>
      <w:r w:rsidRPr="00945545">
        <w:t>This section describes those language, literacy, numeracy and employment skills that are essential to performance.</w:t>
      </w:r>
    </w:p>
    <w:p w:rsidR="00000000" w:rsidRPr="00945545" w:rsidP="00984149">
      <w:pPr>
        <w:pStyle w:val="BodyText"/>
      </w:pPr>
      <w:r w:rsidRPr="00945545">
        <w:t>Foundation skills essential to perf</w:t>
      </w:r>
      <w:r w:rsidRPr="00945545">
        <w:t>ormance are explicit in the performance criteria of this unit of competency.</w:t>
      </w:r>
    </w:p>
    <w:p w:rsidR="00000000" w:rsidRPr="00945545" w:rsidP="00945545">
      <w:pPr>
        <w:pStyle w:val="Heading1"/>
      </w:pPr>
      <w:bookmarkStart w:id="8" w:name="O_902752"/>
      <w:bookmarkEnd w:id="8"/>
      <w:r w:rsidRPr="00945545">
        <w:t>Range of Conditions</w:t>
      </w:r>
    </w:p>
    <w:tbl>
      <w:tblPr>
        <w:tblW w:w="0" w:type="auto"/>
        <w:tblCellMar>
          <w:left w:w="62" w:type="dxa"/>
          <w:right w:w="62" w:type="dxa"/>
        </w:tblCellMar>
        <w:tblLook w:val="0000"/>
      </w:tblPr>
      <w:tblGrid>
        <w:gridCol w:w="1545"/>
        <w:gridCol w:w="7651"/>
      </w:tblGrid>
      <w:tr w:rsidTr="0098414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45545">
            <w:pPr>
              <w:pStyle w:val="BodyText"/>
              <w:rPr>
                <w:lang w:val="en-NZ"/>
              </w:rPr>
            </w:pPr>
            <w:r w:rsidRPr="00945545">
              <w:t>This field allows for different work environments and conditions that may affect performance. Essential operating conditions that may be prese</w:t>
            </w:r>
            <w:r w:rsidRPr="00945545">
              <w:t>nt (depending on the work situation, needs of the candidate, accessibility of the item, and local industry and regional contexts) are included.</w:t>
            </w:r>
          </w:p>
        </w:tc>
      </w:tr>
      <w:tr w:rsidTr="009841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5545">
            <w:pPr>
              <w:pStyle w:val="BodyText"/>
              <w:rPr>
                <w:lang w:val="en-NZ"/>
              </w:rPr>
            </w:pPr>
            <w:r w:rsidRPr="00945545">
              <w:rPr>
                <w:rStyle w:val="SpecialBold"/>
              </w:rPr>
              <w:t>Standards, codes, procedures and/or workplace requirements</w:t>
            </w:r>
          </w:p>
        </w:tc>
        <w:tc>
          <w:tcPr>
            <w:tcW w:w="0" w:type="auto"/>
            <w:tcBorders>
              <w:top w:val="nil"/>
              <w:left w:val="nil"/>
              <w:bottom w:val="nil"/>
              <w:right w:val="nil"/>
            </w:tcBorders>
            <w:tcMar>
              <w:top w:w="0" w:type="dxa"/>
              <w:left w:w="62" w:type="dxa"/>
              <w:bottom w:w="0" w:type="dxa"/>
              <w:right w:w="62" w:type="dxa"/>
            </w:tcMar>
          </w:tcPr>
          <w:p w:rsidR="00000000" w:rsidRPr="00945545" w:rsidP="00945545">
            <w:pPr>
              <w:pStyle w:val="BodyText"/>
            </w:pPr>
            <w:r w:rsidRPr="00945545">
              <w:t>Standards, codes, procedures and/or workplace proce</w:t>
            </w:r>
            <w:r w:rsidRPr="00945545">
              <w:t>dures include the current version of one or more of:</w:t>
            </w:r>
          </w:p>
          <w:p w:rsidR="00000000" w:rsidRPr="00945545" w:rsidP="00945545">
            <w:pPr>
              <w:pStyle w:val="ListBullet"/>
            </w:pPr>
            <w:r w:rsidRPr="00945545">
              <w:t>Australian and international standards and codes covering:</w:t>
            </w:r>
          </w:p>
          <w:p w:rsidR="00000000" w:rsidRPr="00945545" w:rsidP="00945545">
            <w:pPr>
              <w:pStyle w:val="ListBullet2"/>
            </w:pPr>
            <w:r w:rsidRPr="00945545">
              <w:t>general requirements for the competence of testing and calibration laboratories, laboratory safety, quality and environmental management</w:t>
            </w:r>
          </w:p>
          <w:p w:rsidR="00000000" w:rsidRPr="00945545" w:rsidP="00945545">
            <w:pPr>
              <w:pStyle w:val="ListBullet2"/>
            </w:pPr>
            <w:r w:rsidRPr="00945545">
              <w:t>accuracy of measurement methods and results, expression of uncertainty (GUM), quantifying uncertainty in analytical measurement, and quality assurance of measurement equipment</w:t>
            </w:r>
          </w:p>
          <w:p w:rsidR="00000000" w:rsidRPr="00945545" w:rsidP="00945545">
            <w:pPr>
              <w:pStyle w:val="ListBullet"/>
            </w:pPr>
            <w:r w:rsidRPr="00945545">
              <w:t>national work health and safety (WHS) standards, codes of practice</w:t>
            </w:r>
          </w:p>
          <w:p w:rsidR="00000000" w:rsidRPr="00945545" w:rsidP="00945545">
            <w:pPr>
              <w:pStyle w:val="ListBullet"/>
            </w:pPr>
            <w:r w:rsidRPr="00945545">
              <w:t>registration</w:t>
            </w:r>
            <w:r w:rsidRPr="00945545">
              <w:t>/licensing and/or National Association of Testing Authorities (NATA) accreditation requirements</w:t>
            </w:r>
          </w:p>
          <w:p w:rsidR="00000000" w:rsidRPr="00945545" w:rsidP="00945545">
            <w:pPr>
              <w:pStyle w:val="ListBullet"/>
            </w:pPr>
            <w:r w:rsidRPr="00945545">
              <w:t>safety requirements for equipment, materials or products; material safety data sheets (MSDS); and incident and accident/injury reports</w:t>
            </w:r>
          </w:p>
          <w:p w:rsidR="00000000" w:rsidRPr="00945545" w:rsidP="00945545">
            <w:pPr>
              <w:pStyle w:val="ListBullet"/>
            </w:pPr>
            <w:r w:rsidRPr="00945545">
              <w:t>standard operating proced</w:t>
            </w:r>
            <w:r w:rsidRPr="00945545">
              <w:t>ures (SOPs), recording and reporting procedures</w:t>
            </w:r>
          </w:p>
          <w:p w:rsidR="00000000" w:rsidRPr="00945545" w:rsidP="00945545">
            <w:pPr>
              <w:pStyle w:val="ListBullet"/>
            </w:pPr>
            <w:r w:rsidRPr="00945545">
              <w:t>quality manuals, equipment and operating/technical manuals</w:t>
            </w:r>
          </w:p>
          <w:p w:rsidR="00000000" w:rsidRPr="00945545" w:rsidP="00945545">
            <w:pPr>
              <w:pStyle w:val="ListBullet"/>
            </w:pPr>
            <w:r w:rsidRPr="00945545">
              <w:t>test methods and calibration procedures (validated and authorised)</w:t>
            </w:r>
          </w:p>
          <w:p w:rsidR="00000000" w:rsidRPr="00945545" w:rsidP="00945545">
            <w:pPr>
              <w:pStyle w:val="ListBullet"/>
            </w:pPr>
            <w:r w:rsidRPr="00945545">
              <w:t>test methods and calibration procedures published by international, national or re</w:t>
            </w:r>
            <w:r w:rsidRPr="00945545">
              <w:t>gional standards, reputable technical organisations, scientific texts or journals and equipment manufacturers</w:t>
            </w:r>
          </w:p>
          <w:p w:rsidR="00000000" w:rsidRPr="00945545" w:rsidP="00945545">
            <w:pPr>
              <w:pStyle w:val="ListBullet"/>
            </w:pPr>
            <w:r w:rsidRPr="00945545">
              <w:t>laboratory layout, work flows and schedules</w:t>
            </w:r>
          </w:p>
          <w:p w:rsidR="00000000" w:rsidP="00945545">
            <w:pPr>
              <w:pStyle w:val="BodyText"/>
              <w:rPr>
                <w:lang w:val="en-NZ"/>
              </w:rPr>
            </w:pPr>
          </w:p>
        </w:tc>
      </w:tr>
      <w:tr w:rsidTr="009841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5545">
            <w:pPr>
              <w:pStyle w:val="BodyText"/>
              <w:rPr>
                <w:lang w:val="en-NZ"/>
              </w:rPr>
            </w:pPr>
            <w:r w:rsidRPr="00945545">
              <w:rPr>
                <w:rStyle w:val="SpecialBold"/>
              </w:rPr>
              <w:t xml:space="preserve">Modifying or developing new test methods </w:t>
            </w:r>
          </w:p>
        </w:tc>
        <w:tc>
          <w:tcPr>
            <w:tcW w:w="0" w:type="auto"/>
            <w:tcBorders>
              <w:top w:val="nil"/>
              <w:left w:val="nil"/>
              <w:bottom w:val="nil"/>
              <w:right w:val="nil"/>
            </w:tcBorders>
            <w:tcMar>
              <w:top w:w="0" w:type="dxa"/>
              <w:left w:w="62" w:type="dxa"/>
              <w:bottom w:w="0" w:type="dxa"/>
              <w:right w:w="62" w:type="dxa"/>
            </w:tcMar>
          </w:tcPr>
          <w:p w:rsidR="00000000" w:rsidRPr="00945545" w:rsidP="00945545">
            <w:pPr>
              <w:pStyle w:val="BodyText"/>
            </w:pPr>
            <w:r w:rsidRPr="00945545">
              <w:t xml:space="preserve">Modifying or developing new test methods involves, but is not limited to, using, testing and/or calibrating one or more of the following: </w:t>
            </w:r>
          </w:p>
          <w:p w:rsidR="00000000" w:rsidRPr="00945545" w:rsidP="00945545">
            <w:pPr>
              <w:pStyle w:val="ListBullet"/>
            </w:pPr>
            <w:r w:rsidRPr="00945545">
              <w:t>common test equipment, such as anemometers, balances, barometers, callipers, environmental chambers, hygrometers, ma</w:t>
            </w:r>
            <w:r w:rsidRPr="00945545">
              <w:t>nometers, masses, micrometers, pressure equipment, spectrophotometers, tape measures, rules, temperature (digital) indicating systems, thermometers, thermocouples, timing devices, vibration analysis equipment and weighing instruments</w:t>
            </w:r>
          </w:p>
          <w:p w:rsidR="00000000" w:rsidRPr="00945545" w:rsidP="00945545">
            <w:pPr>
              <w:pStyle w:val="ListBullet"/>
            </w:pPr>
            <w:r w:rsidRPr="00945545">
              <w:t>electrical reference s</w:t>
            </w:r>
            <w:r w:rsidRPr="00945545">
              <w:t>tandards, such as air-lines, analogue meters, attenuators, bridges-manual balance, capacitors, DC voltage references, digital instruments (calibrators, DMMs, electronic transfer standards), inductors, instrument and ratio transformers, instrument transform</w:t>
            </w:r>
            <w:r w:rsidRPr="00945545">
              <w:t>er test sets, potentiometers, resistors, radio frequency (RF) power meters, RF thermistor mounts and thermal converters, shunts, time interval and frequency standards, transfer standards AC-DC, voltage dividers, volt ratio boxes and watt-hour references</w:t>
            </w:r>
          </w:p>
          <w:p w:rsidR="00000000" w:rsidRPr="00945545" w:rsidP="00945545">
            <w:pPr>
              <w:pStyle w:val="ListBullet"/>
            </w:pPr>
            <w:r w:rsidRPr="00945545">
              <w:t>wo</w:t>
            </w:r>
            <w:r w:rsidRPr="00945545">
              <w:t>rking standards, instruments and testing equipment, such as electromagnetic compatibility (EMC) test equipment, field strength meters, flammability test equipment, gauges/test fingers/test pins, hipot testers, impact hammers, impulse testers, instrument ca</w:t>
            </w:r>
            <w:r w:rsidRPr="00945545">
              <w:t>librators, network analysers, signal generators and spectrum and harmonic analysers</w:t>
            </w:r>
          </w:p>
          <w:p w:rsidR="00000000" w:rsidP="00945545">
            <w:pPr>
              <w:pStyle w:val="BodyText"/>
              <w:rPr>
                <w:lang w:val="en-NZ"/>
              </w:rPr>
            </w:pPr>
          </w:p>
        </w:tc>
      </w:tr>
      <w:tr w:rsidTr="009841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5545">
            <w:pPr>
              <w:pStyle w:val="BodyText"/>
              <w:rPr>
                <w:lang w:val="en-NZ"/>
              </w:rPr>
            </w:pPr>
            <w:r w:rsidRPr="00945545">
              <w:rPr>
                <w:rStyle w:val="SpecialBold"/>
              </w:rPr>
              <w:t xml:space="preserve">Hazards </w:t>
            </w:r>
          </w:p>
        </w:tc>
        <w:tc>
          <w:tcPr>
            <w:tcW w:w="0" w:type="auto"/>
            <w:tcBorders>
              <w:top w:val="nil"/>
              <w:left w:val="nil"/>
              <w:bottom w:val="nil"/>
              <w:right w:val="nil"/>
            </w:tcBorders>
            <w:tcMar>
              <w:top w:w="0" w:type="dxa"/>
              <w:left w:w="62" w:type="dxa"/>
              <w:bottom w:w="0" w:type="dxa"/>
              <w:right w:w="62" w:type="dxa"/>
            </w:tcMar>
          </w:tcPr>
          <w:p w:rsidR="00000000" w:rsidRPr="00945545" w:rsidP="00945545">
            <w:pPr>
              <w:pStyle w:val="BodyText"/>
            </w:pPr>
            <w:r w:rsidRPr="00945545">
              <w:t>Hazards include, but are not limited to, one or more of:</w:t>
            </w:r>
          </w:p>
          <w:p w:rsidR="00000000" w:rsidRPr="00945545" w:rsidP="00945545">
            <w:pPr>
              <w:pStyle w:val="ListBullet"/>
            </w:pPr>
            <w:r w:rsidRPr="00945545">
              <w:t>electric shock</w:t>
            </w:r>
          </w:p>
          <w:p w:rsidR="00000000" w:rsidRPr="00945545" w:rsidP="00945545">
            <w:pPr>
              <w:pStyle w:val="ListBullet"/>
            </w:pPr>
            <w:r w:rsidRPr="00945545">
              <w:t>disturbance or interruption of services</w:t>
            </w:r>
          </w:p>
          <w:p w:rsidR="00000000" w:rsidRPr="00945545" w:rsidP="00945545">
            <w:pPr>
              <w:pStyle w:val="ListBullet"/>
            </w:pPr>
            <w:r w:rsidRPr="00945545">
              <w:t>manual handling of heavy equipment boxes</w:t>
            </w:r>
          </w:p>
          <w:p w:rsidR="00000000" w:rsidRPr="00945545" w:rsidP="00945545">
            <w:pPr>
              <w:pStyle w:val="ListBullet"/>
            </w:pPr>
            <w:r w:rsidRPr="00945545">
              <w:t>sources</w:t>
            </w:r>
            <w:r w:rsidRPr="00945545">
              <w:t xml:space="preserve"> of electromagnetic radiation (lasers and RF generators/transmitters)</w:t>
            </w:r>
          </w:p>
          <w:p w:rsidR="00000000" w:rsidRPr="00945545" w:rsidP="00945545">
            <w:pPr>
              <w:pStyle w:val="ListBullet"/>
            </w:pPr>
            <w:r w:rsidRPr="00945545">
              <w:t>fluids under pressure</w:t>
            </w:r>
          </w:p>
          <w:p w:rsidR="00000000" w:rsidRPr="00945545" w:rsidP="00945545">
            <w:pPr>
              <w:pStyle w:val="ListBullet"/>
            </w:pPr>
            <w:r w:rsidRPr="00945545">
              <w:t>heat sources, such as ovens</w:t>
            </w:r>
          </w:p>
          <w:p w:rsidR="00000000" w:rsidP="00945545">
            <w:pPr>
              <w:pStyle w:val="BodyText"/>
              <w:rPr>
                <w:lang w:val="en-NZ"/>
              </w:rPr>
            </w:pPr>
          </w:p>
        </w:tc>
      </w:tr>
      <w:tr w:rsidTr="009841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5545">
            <w:pPr>
              <w:pStyle w:val="BodyText"/>
              <w:rPr>
                <w:lang w:val="en-NZ"/>
              </w:rPr>
            </w:pPr>
            <w:r w:rsidRPr="00945545">
              <w:rPr>
                <w:rStyle w:val="SpecialBold"/>
              </w:rPr>
              <w:t xml:space="preserve">Safety procedures </w:t>
            </w:r>
          </w:p>
        </w:tc>
        <w:tc>
          <w:tcPr>
            <w:tcW w:w="0" w:type="auto"/>
            <w:tcBorders>
              <w:top w:val="nil"/>
              <w:left w:val="nil"/>
              <w:bottom w:val="nil"/>
              <w:right w:val="nil"/>
            </w:tcBorders>
            <w:tcMar>
              <w:top w:w="0" w:type="dxa"/>
              <w:left w:w="62" w:type="dxa"/>
              <w:bottom w:w="0" w:type="dxa"/>
              <w:right w:w="62" w:type="dxa"/>
            </w:tcMar>
          </w:tcPr>
          <w:p w:rsidR="00000000" w:rsidRPr="00945545" w:rsidP="00945545">
            <w:pPr>
              <w:pStyle w:val="BodyText"/>
            </w:pPr>
            <w:r w:rsidRPr="00945545">
              <w:t>Safety procedures include, but are not limited to, one or more of:</w:t>
            </w:r>
          </w:p>
          <w:p w:rsidR="00000000" w:rsidRPr="00945545" w:rsidP="00945545">
            <w:pPr>
              <w:pStyle w:val="ListBullet"/>
            </w:pPr>
            <w:r w:rsidRPr="00945545">
              <w:t>ensuring access to service shut-off points</w:t>
            </w:r>
          </w:p>
          <w:p w:rsidR="00000000" w:rsidRPr="00945545" w:rsidP="00945545">
            <w:pPr>
              <w:pStyle w:val="ListBullet"/>
            </w:pPr>
            <w:r w:rsidRPr="00945545">
              <w:t>use of PPE, such as hearing protection, gloves, safety glasses and coveralls</w:t>
            </w:r>
          </w:p>
          <w:p w:rsidR="00000000" w:rsidRPr="00945545" w:rsidP="00945545">
            <w:pPr>
              <w:pStyle w:val="ListBullet"/>
            </w:pPr>
            <w:r w:rsidRPr="00945545">
              <w:t>handling and storing hazardous materials and equipment in accordance with labels, MSDS, manufacturer</w:t>
            </w:r>
            <w:r>
              <w:t>’</w:t>
            </w:r>
            <w:r w:rsidRPr="00945545">
              <w:t>s instructions and workplace procedures and regulations</w:t>
            </w:r>
          </w:p>
          <w:p w:rsidR="00000000" w:rsidRPr="00945545" w:rsidP="00945545">
            <w:pPr>
              <w:pStyle w:val="ListBullet"/>
            </w:pPr>
            <w:r w:rsidRPr="00945545">
              <w:t>regular cleaning of eq</w:t>
            </w:r>
            <w:r w:rsidRPr="00945545">
              <w:t>uipment and work areas</w:t>
            </w:r>
          </w:p>
          <w:p w:rsidR="00000000" w:rsidP="00945545">
            <w:pPr>
              <w:pStyle w:val="BodyText"/>
              <w:rPr>
                <w:lang w:val="en-NZ"/>
              </w:rPr>
            </w:pPr>
          </w:p>
        </w:tc>
      </w:tr>
      <w:tr w:rsidTr="009841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5545">
            <w:pPr>
              <w:pStyle w:val="BodyText"/>
              <w:rPr>
                <w:lang w:val="en-NZ"/>
              </w:rPr>
            </w:pPr>
            <w:r w:rsidRPr="00945545">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945545" w:rsidP="00945545">
            <w:pPr>
              <w:pStyle w:val="BodyText"/>
            </w:pPr>
            <w:r w:rsidRPr="00945545">
              <w:t>WHS and environmental management requirements include:</w:t>
            </w:r>
          </w:p>
          <w:p w:rsidR="00000000" w:rsidRPr="00945545" w:rsidP="00945545">
            <w:pPr>
              <w:pStyle w:val="BodyText"/>
            </w:pPr>
            <w:r w:rsidRPr="00945545">
              <w:rPr>
                <w:rStyle w:val="Symbols"/>
              </w:rPr>
              <w:t></w:t>
            </w:r>
            <w:r w:rsidRPr="00945545">
              <w:rPr>
                <w:rStyle w:val="Symbols"/>
              </w:rPr>
              <w:tab/>
            </w:r>
            <w:r w:rsidRPr="00945545">
              <w:t>complying with WHS and environmental management requirements at all times, which may be imposed through state/territory or federal legislation. These requirements must not be compromised at any time</w:t>
            </w:r>
          </w:p>
          <w:p w:rsidR="00000000" w:rsidRPr="00945545" w:rsidP="00945545">
            <w:pPr>
              <w:pStyle w:val="BodyText"/>
            </w:pPr>
            <w:r w:rsidRPr="00945545">
              <w:rPr>
                <w:rStyle w:val="Symbols"/>
              </w:rPr>
              <w:t></w:t>
            </w:r>
            <w:r w:rsidRPr="00945545">
              <w:rPr>
                <w:rStyle w:val="Symbols"/>
              </w:rPr>
              <w:tab/>
            </w:r>
            <w:r w:rsidRPr="00945545">
              <w:t>applying standard precautions relating to the potentially hazardous nature of samples</w:t>
            </w:r>
          </w:p>
          <w:p w:rsidR="00000000" w:rsidRPr="00945545" w:rsidP="00945545">
            <w:pPr>
              <w:pStyle w:val="ListBullet"/>
            </w:pPr>
            <w:r w:rsidRPr="00945545">
              <w:t>accessing and applying current industry understanding of infection control issued by the National Health and Medical Research Council (NHMRC) and State and Territory Dep</w:t>
            </w:r>
            <w:r w:rsidRPr="00945545">
              <w:t>artments of Health, where relevant</w:t>
            </w:r>
          </w:p>
        </w:tc>
      </w:tr>
    </w:tbl>
    <w:p w:rsidR="00000000" w:rsidRPr="00945545" w:rsidP="00945545">
      <w:pPr>
        <w:pStyle w:val="BodyText"/>
      </w:pPr>
    </w:p>
    <w:p w:rsidR="00000000" w:rsidRPr="00945545" w:rsidP="00945545">
      <w:pPr>
        <w:pStyle w:val="AllowPageBreak"/>
      </w:pPr>
    </w:p>
    <w:p w:rsidR="00000000" w:rsidRPr="00945545" w:rsidP="00945545">
      <w:pPr>
        <w:pStyle w:val="Heading1"/>
      </w:pPr>
      <w:bookmarkStart w:id="9" w:name="O_902751"/>
      <w:bookmarkEnd w:id="9"/>
      <w:r w:rsidRPr="00945545">
        <w:t>Unit Mapping Information</w:t>
      </w:r>
    </w:p>
    <w:p w:rsidR="00000000" w:rsidRPr="00945545" w:rsidP="00984149">
      <w:pPr>
        <w:pStyle w:val="BodyText"/>
      </w:pPr>
      <w:r w:rsidRPr="00945545">
        <w:t>Release 1. Supersedes and is equivalent to MSL905002A Create or modify calibration procedures</w:t>
      </w:r>
    </w:p>
    <w:p w:rsidR="00000000" w:rsidRPr="00945545" w:rsidP="00945545">
      <w:pPr>
        <w:pStyle w:val="Heading1"/>
      </w:pPr>
      <w:bookmarkStart w:id="10" w:name="O_902744"/>
      <w:bookmarkEnd w:id="10"/>
      <w:r w:rsidRPr="00945545">
        <w:t>Links</w:t>
      </w:r>
    </w:p>
    <w:p w:rsidR="00000000" w:rsidRPr="00945545" w:rsidP="00984149">
      <w:pPr>
        <w:pStyle w:val="BodyText"/>
      </w:pPr>
      <w:r w:rsidRPr="00945545">
        <w:t>Companion Volume implementation guides are found in VETNet -</w:t>
      </w:r>
      <w:r w:rsidRPr="00945545">
        <w:t xml:space="preserve"> </w:t>
      </w:r>
      <w:r>
        <w:fldChar w:fldCharType="begin"/>
      </w:r>
      <w:r>
        <w:instrText xml:space="preserve"> HYPERLINK "https://vetnet.gov.au/Pages/TrainingDocs.aspx?q=5c63a03b-4a6b-4ae5-9560-1e3c5f462baa" </w:instrText>
      </w:r>
      <w:r>
        <w:fldChar w:fldCharType="separate"/>
      </w:r>
      <w:r w:rsidRPr="00FC1708">
        <w:rPr>
          <w:rStyle w:val="Hyperlink"/>
        </w:rPr>
        <w:t>https://vetnet.gov.au/Pages/TrainingDocs.aspx?q=5c63a03b-4a6b-4ae5-9560-1e3c5f462baa</w:t>
      </w:r>
      <w:r>
        <w:fldChar w:fldCharType="end"/>
      </w:r>
    </w:p>
    <w:p w:rsidR="00000000" w:rsidRPr="00945545" w:rsidP="00984149">
      <w:pPr>
        <w:pStyle w:val="BodyText"/>
        <w:sectPr w:rsidSect="00945545">
          <w:headerReference w:type="default" r:id="rId10"/>
          <w:footerReference w:type="default" r:id="rId11"/>
          <w:pgSz w:w="11908" w:h="16833"/>
          <w:pgMar w:top="1702" w:right="1418" w:bottom="1702" w:left="1418" w:header="992" w:footer="992" w:gutter="0"/>
          <w:cols w:space="720"/>
          <w:noEndnote/>
          <w:docGrid w:linePitch="299"/>
        </w:sectPr>
      </w:pPr>
    </w:p>
    <w:p w:rsidR="00000000" w:rsidRPr="00945545" w:rsidP="00945545">
      <w:pPr>
        <w:pStyle w:val="SuperHeading"/>
      </w:pPr>
      <w:r w:rsidRPr="00945545">
        <w:t>Assessment Requirements for MSL905002 Create or modify calibration procedures</w:t>
      </w:r>
    </w:p>
    <w:p w:rsidR="00000000" w:rsidRPr="00945545" w:rsidP="00945545">
      <w:pPr>
        <w:pStyle w:val="Heading1"/>
      </w:pPr>
      <w:bookmarkStart w:id="11" w:name="O_902746"/>
      <w:bookmarkEnd w:id="11"/>
      <w:r w:rsidRPr="00945545">
        <w:t>Modification History</w:t>
      </w:r>
    </w:p>
    <w:p w:rsidR="00000000" w:rsidRPr="00945545" w:rsidP="00984149">
      <w:pPr>
        <w:pStyle w:val="BodyText"/>
      </w:pPr>
      <w:r w:rsidRPr="00945545">
        <w:t>Release 1. Supersedes and is equivalent to MSL905002A Create or modify calibration procedures</w:t>
      </w:r>
    </w:p>
    <w:p w:rsidR="00000000" w:rsidRPr="00945545" w:rsidP="00945545">
      <w:pPr>
        <w:pStyle w:val="Heading1"/>
      </w:pPr>
      <w:bookmarkStart w:id="12" w:name="O_902749"/>
      <w:bookmarkEnd w:id="12"/>
      <w:r w:rsidRPr="00945545">
        <w:t>Performance Evidence</w:t>
      </w:r>
    </w:p>
    <w:p w:rsidR="00000000" w:rsidRPr="00945545" w:rsidP="00984149">
      <w:pPr>
        <w:pStyle w:val="BodyText"/>
      </w:pPr>
      <w:r w:rsidRPr="00945545">
        <w:t>Evidence of competence in this unit must satisfy all of the requirements of the elements and performance criteria, and inclu</w:t>
      </w:r>
      <w:r w:rsidRPr="00945545">
        <w:t>de demonstration of:</w:t>
      </w:r>
    </w:p>
    <w:p w:rsidR="00000000" w:rsidRPr="00945545" w:rsidP="00945545">
      <w:pPr>
        <w:pStyle w:val="ListBullet"/>
      </w:pPr>
      <w:r w:rsidRPr="00945545">
        <w:t>researching current calibration procedures, technology and equipment</w:t>
      </w:r>
    </w:p>
    <w:p w:rsidR="00000000" w:rsidRPr="00945545" w:rsidP="00945545">
      <w:pPr>
        <w:pStyle w:val="ListBullet"/>
      </w:pPr>
      <w:r w:rsidRPr="00945545">
        <w:t>following all relevant safety procedures</w:t>
      </w:r>
    </w:p>
    <w:p w:rsidR="00000000" w:rsidRPr="00945545" w:rsidP="00945545">
      <w:pPr>
        <w:pStyle w:val="ListBullet"/>
      </w:pPr>
      <w:r w:rsidRPr="00945545">
        <w:t>creating and modifying at least one (1) calibration procedure, trialling it and confirming that it is fit for purpose to mee</w:t>
      </w:r>
      <w:r w:rsidRPr="00945545">
        <w:t>t technical and/or client requirements</w:t>
      </w:r>
    </w:p>
    <w:p w:rsidR="00000000" w:rsidRPr="00945545" w:rsidP="00945545">
      <w:pPr>
        <w:pStyle w:val="ListBullet"/>
      </w:pPr>
      <w:r w:rsidRPr="00945545">
        <w:t>applying specialised technical knowledge to critically analyse and resolve complex problems associated with measurement non-conformances where solutions are not obvious or readily available</w:t>
      </w:r>
    </w:p>
    <w:p w:rsidR="00000000" w:rsidRPr="00945545" w:rsidP="00945545">
      <w:pPr>
        <w:pStyle w:val="ListBullet"/>
      </w:pPr>
      <w:r w:rsidRPr="00945545">
        <w:t>developing or adapting cali</w:t>
      </w:r>
      <w:r w:rsidRPr="00945545">
        <w:t>bration methods to suit technical and/or client requirements</w:t>
      </w:r>
    </w:p>
    <w:p w:rsidR="00000000" w:rsidRPr="00945545" w:rsidP="00945545">
      <w:pPr>
        <w:pStyle w:val="ListBullet"/>
      </w:pPr>
      <w:r w:rsidRPr="00945545">
        <w:t>conducting reliable calibration/testing trials to ensure a high degree of reproducibility</w:t>
      </w:r>
    </w:p>
    <w:p w:rsidR="00000000" w:rsidRPr="00945545" w:rsidP="00945545">
      <w:pPr>
        <w:pStyle w:val="ListBullet"/>
      </w:pPr>
      <w:r w:rsidRPr="00945545">
        <w:t>explaining complex calibration procedures to clients and clarifying requirements and deviations</w:t>
      </w:r>
    </w:p>
    <w:p w:rsidR="00000000" w:rsidRPr="00945545" w:rsidP="00945545">
      <w:pPr>
        <w:pStyle w:val="ListBullet"/>
      </w:pPr>
      <w:r w:rsidRPr="00945545">
        <w:t xml:space="preserve">liaising </w:t>
      </w:r>
      <w:r w:rsidRPr="00945545">
        <w:t>with peers and technical staff from other laboratories to clarify and validate test methods</w:t>
      </w:r>
    </w:p>
    <w:p w:rsidR="00000000" w:rsidRPr="00945545" w:rsidP="00945545">
      <w:pPr>
        <w:pStyle w:val="ListBullet"/>
      </w:pPr>
      <w:r w:rsidRPr="00945545">
        <w:t>estimating measurement uncertainty and applying statistical techniques for analysing test and/or calibration data</w:t>
      </w:r>
    </w:p>
    <w:p w:rsidR="00000000" w:rsidRPr="00945545" w:rsidP="00945545">
      <w:pPr>
        <w:pStyle w:val="ListBullet"/>
      </w:pPr>
      <w:r w:rsidRPr="00945545">
        <w:t>writing calibration procedures using an unambiguou</w:t>
      </w:r>
      <w:r w:rsidRPr="00945545">
        <w:t>s, logical sequence of instructions that meet statutory and regulatory requirements</w:t>
      </w:r>
    </w:p>
    <w:p w:rsidR="00000000" w:rsidRPr="00945545" w:rsidP="00945545">
      <w:pPr>
        <w:pStyle w:val="ListBullet"/>
      </w:pPr>
      <w:r w:rsidRPr="00945545">
        <w:t>preparing all test documentation accurately, concisely and in accordance with requirements</w:t>
      </w:r>
    </w:p>
    <w:p w:rsidR="00000000" w:rsidRPr="00945545" w:rsidP="00945545">
      <w:pPr>
        <w:pStyle w:val="ListBullet"/>
      </w:pPr>
      <w:r w:rsidRPr="00945545">
        <w:t>recognising and reporting opportunities for improvements.</w:t>
      </w:r>
    </w:p>
    <w:p w:rsidR="00000000" w:rsidRPr="00945545" w:rsidP="00945545">
      <w:pPr>
        <w:pStyle w:val="AllowPageBreak"/>
      </w:pPr>
    </w:p>
    <w:p w:rsidR="00000000" w:rsidRPr="00945545" w:rsidP="00945545">
      <w:pPr>
        <w:pStyle w:val="Heading1"/>
      </w:pPr>
      <w:bookmarkStart w:id="13" w:name="O_902748"/>
      <w:bookmarkEnd w:id="13"/>
      <w:r w:rsidRPr="00945545">
        <w:t>Knowledge Evidence</w:t>
      </w:r>
    </w:p>
    <w:p w:rsidR="00000000" w:rsidRPr="00945545" w:rsidP="00984149">
      <w:pPr>
        <w:pStyle w:val="BodyText"/>
      </w:pPr>
      <w:r w:rsidRPr="00945545">
        <w:t>Must provide evidence that demonstrates knowledge of:</w:t>
      </w:r>
    </w:p>
    <w:p w:rsidR="00000000" w:rsidRPr="00945545" w:rsidP="00945545">
      <w:pPr>
        <w:pStyle w:val="ListBullet"/>
      </w:pPr>
      <w:r w:rsidRPr="00945545">
        <w:t>requirements for the competence of testing and calibration laboratories (e.g. AS ISO/IEC 17025) as they affect job role and responsibilities</w:t>
      </w:r>
    </w:p>
    <w:p w:rsidR="00000000" w:rsidRPr="00945545" w:rsidP="00945545">
      <w:pPr>
        <w:pStyle w:val="ListBullet"/>
      </w:pPr>
      <w:r w:rsidRPr="00945545">
        <w:t>limits of authority and procedures for cr</w:t>
      </w:r>
      <w:r w:rsidRPr="00945545">
        <w:t>eating or modifying calibration procedures</w:t>
      </w:r>
    </w:p>
    <w:p w:rsidR="00000000" w:rsidRPr="00945545" w:rsidP="00945545">
      <w:pPr>
        <w:pStyle w:val="ListBullet"/>
      </w:pPr>
      <w:r w:rsidRPr="00945545">
        <w:t>structure and terminology used in standard calibration methods, procedures, requests and instructions</w:t>
      </w:r>
    </w:p>
    <w:p w:rsidR="00000000" w:rsidRPr="00945545" w:rsidP="00945545">
      <w:pPr>
        <w:pStyle w:val="ListBullet"/>
      </w:pPr>
      <w:r w:rsidRPr="00945545">
        <w:t>current calibration methods, procedures and technology applications used in laboratory</w:t>
      </w:r>
    </w:p>
    <w:p w:rsidR="00000000" w:rsidRPr="00945545" w:rsidP="00945545">
      <w:pPr>
        <w:pStyle w:val="ListBullet"/>
      </w:pPr>
      <w:r w:rsidRPr="00945545">
        <w:t>implications of modifyin</w:t>
      </w:r>
      <w:r w:rsidRPr="00945545">
        <w:t>g standard calibration procedures</w:t>
      </w:r>
    </w:p>
    <w:p w:rsidR="00000000" w:rsidRPr="00945545" w:rsidP="00945545">
      <w:pPr>
        <w:pStyle w:val="ListBullet"/>
      </w:pPr>
      <w:r w:rsidRPr="00945545">
        <w:t>equipment specifications and limitations and the implications of equipment substitution</w:t>
      </w:r>
    </w:p>
    <w:p w:rsidR="00000000" w:rsidRPr="00945545" w:rsidP="00945545">
      <w:pPr>
        <w:pStyle w:val="ListBullet"/>
      </w:pPr>
      <w:r w:rsidRPr="00945545">
        <w:t xml:space="preserve">hierarchy and appropriate selection of reference materials </w:t>
      </w:r>
    </w:p>
    <w:p w:rsidR="00000000" w:rsidRPr="00945545" w:rsidP="00945545">
      <w:pPr>
        <w:pStyle w:val="ListBullet"/>
      </w:pPr>
      <w:r w:rsidRPr="00945545">
        <w:t>handling, transport, storage and operation requirements of reference and w</w:t>
      </w:r>
      <w:r w:rsidRPr="00945545">
        <w:t>orking standards</w:t>
      </w:r>
    </w:p>
    <w:p w:rsidR="00000000" w:rsidRPr="00945545" w:rsidP="00945545">
      <w:pPr>
        <w:pStyle w:val="ListBullet"/>
      </w:pPr>
      <w:r w:rsidRPr="00945545">
        <w:t>calculation procedures to give results in appropriate accuracy, precision and units</w:t>
      </w:r>
    </w:p>
    <w:p w:rsidR="00000000" w:rsidRPr="00945545" w:rsidP="00945545">
      <w:pPr>
        <w:pStyle w:val="ListBullet"/>
      </w:pPr>
      <w:r w:rsidRPr="00945545">
        <w:t xml:space="preserve">methods for statistical analysis (means, ranges and standard deviations) and estimation of uncertainty of measurement (may include the use of software) </w:t>
      </w:r>
    </w:p>
    <w:p w:rsidR="00000000" w:rsidRPr="00945545" w:rsidP="00945545">
      <w:pPr>
        <w:pStyle w:val="ListBullet"/>
      </w:pPr>
      <w:r w:rsidRPr="00945545">
        <w:t>eq</w:t>
      </w:r>
      <w:r w:rsidRPr="00945545">
        <w:t>uipment and testing method troubleshooting procedures</w:t>
      </w:r>
    </w:p>
    <w:p w:rsidR="00000000" w:rsidRPr="00945545" w:rsidP="00945545">
      <w:pPr>
        <w:pStyle w:val="ListBullet"/>
      </w:pPr>
      <w:r w:rsidRPr="00945545">
        <w:t>workplace procedures and legislative requirements for documenting calibration procedures</w:t>
      </w:r>
    </w:p>
    <w:p w:rsidR="00000000" w:rsidRPr="00945545" w:rsidP="00945545">
      <w:pPr>
        <w:pStyle w:val="ListBullet"/>
      </w:pPr>
      <w:r w:rsidRPr="00945545">
        <w:t>workplace and/or legal traceability requirements</w:t>
      </w:r>
    </w:p>
    <w:p w:rsidR="00000000" w:rsidRPr="00945545" w:rsidP="00945545">
      <w:pPr>
        <w:pStyle w:val="ListBullet"/>
      </w:pPr>
      <w:r w:rsidRPr="00945545">
        <w:t>work health and safety (WHS) and laboratory environmental contro</w:t>
      </w:r>
      <w:r w:rsidRPr="00945545">
        <w:t>l requirements.</w:t>
      </w:r>
    </w:p>
    <w:p w:rsidR="00000000" w:rsidRPr="00945545" w:rsidP="00945545">
      <w:pPr>
        <w:pStyle w:val="BodyText"/>
      </w:pPr>
    </w:p>
    <w:p w:rsidR="00000000" w:rsidRPr="00945545" w:rsidP="00984149">
      <w:pPr>
        <w:pStyle w:val="BodyText"/>
      </w:pPr>
      <w:r w:rsidRPr="00945545">
        <w:t>Additional knowledge requirements relevant to the workplace context that apply for different calibration fields must be assessed, including testing and calibration conducted in the following fields:</w:t>
      </w:r>
    </w:p>
    <w:p w:rsidR="00000000" w:rsidRPr="00945545" w:rsidP="00945545">
      <w:pPr>
        <w:pStyle w:val="ListBullet"/>
      </w:pPr>
      <w:r w:rsidRPr="00945545">
        <w:t>acoustic and vibration measurement</w:t>
      </w:r>
    </w:p>
    <w:p w:rsidR="00000000" w:rsidRPr="00945545" w:rsidP="00945545">
      <w:pPr>
        <w:pStyle w:val="ListBullet"/>
      </w:pPr>
      <w:r w:rsidRPr="00945545">
        <w:t>chemical testing</w:t>
      </w:r>
    </w:p>
    <w:p w:rsidR="00000000" w:rsidRPr="00945545" w:rsidP="00945545">
      <w:pPr>
        <w:pStyle w:val="ListBullet"/>
      </w:pPr>
      <w:r w:rsidRPr="00945545">
        <w:t>construction materials testing</w:t>
      </w:r>
    </w:p>
    <w:p w:rsidR="00000000" w:rsidRPr="00945545" w:rsidP="00945545">
      <w:pPr>
        <w:pStyle w:val="ListBullet"/>
      </w:pPr>
      <w:r w:rsidRPr="00945545">
        <w:t>electrical testing</w:t>
      </w:r>
    </w:p>
    <w:p w:rsidR="00000000" w:rsidRPr="00945545" w:rsidP="00945545">
      <w:pPr>
        <w:pStyle w:val="ListBullet"/>
      </w:pPr>
      <w:r w:rsidRPr="00945545">
        <w:t>heat and temperature measurement</w:t>
      </w:r>
    </w:p>
    <w:p w:rsidR="00000000" w:rsidRPr="00945545" w:rsidP="00945545">
      <w:pPr>
        <w:pStyle w:val="ListBullet"/>
      </w:pPr>
      <w:r w:rsidRPr="00945545">
        <w:t>mechanical testing</w:t>
      </w:r>
    </w:p>
    <w:p w:rsidR="00000000" w:rsidRPr="00945545" w:rsidP="00945545">
      <w:pPr>
        <w:pStyle w:val="ListBullet"/>
      </w:pPr>
      <w:r w:rsidRPr="00945545">
        <w:t>metrology</w:t>
      </w:r>
    </w:p>
    <w:p w:rsidR="00000000" w:rsidRPr="00945545" w:rsidP="00945545">
      <w:pPr>
        <w:pStyle w:val="ListBullet"/>
      </w:pPr>
      <w:r w:rsidRPr="00945545">
        <w:t>non-destructive testing</w:t>
      </w:r>
    </w:p>
    <w:p w:rsidR="00000000" w:rsidRPr="00945545" w:rsidP="00945545">
      <w:pPr>
        <w:pStyle w:val="ListBullet"/>
      </w:pPr>
      <w:r w:rsidRPr="00945545">
        <w:t>optics and radiometry</w:t>
      </w:r>
    </w:p>
    <w:p w:rsidR="00000000" w:rsidRPr="00945545" w:rsidP="00945545">
      <w:pPr>
        <w:pStyle w:val="ListBullet"/>
      </w:pPr>
      <w:r w:rsidRPr="00945545">
        <w:t>pressure testing.</w:t>
      </w:r>
    </w:p>
    <w:p w:rsidR="00000000" w:rsidRPr="00945545" w:rsidP="00945545">
      <w:pPr>
        <w:pStyle w:val="AllowPageBreak"/>
      </w:pPr>
    </w:p>
    <w:p w:rsidR="00000000" w:rsidRPr="00945545" w:rsidP="00945545">
      <w:pPr>
        <w:pStyle w:val="Heading1"/>
      </w:pPr>
      <w:bookmarkStart w:id="14" w:name="O_902747"/>
      <w:bookmarkEnd w:id="14"/>
      <w:r w:rsidRPr="00945545">
        <w:t>Assessment Conditions</w:t>
      </w:r>
    </w:p>
    <w:p w:rsidR="00000000" w:rsidRPr="00945545" w:rsidP="00945545">
      <w:pPr>
        <w:pStyle w:val="ListBullet"/>
      </w:pPr>
      <w:r w:rsidRPr="00945545">
        <w:t>Judgement of competence</w:t>
      </w:r>
      <w:r w:rsidRPr="00945545">
        <w:t xml:space="preserve"> must be based on holistic assessment of the evidence. Assessment methods must confirm consistency of performance over time, rather than a single assessment event. </w:t>
      </w:r>
    </w:p>
    <w:p w:rsidR="00000000" w:rsidRPr="00945545" w:rsidP="00945545">
      <w:pPr>
        <w:pStyle w:val="ListBullet"/>
      </w:pPr>
      <w:r w:rsidRPr="00945545">
        <w:t>This unit of competency is to be assessed in the workplace or a simulated workplace environ</w:t>
      </w:r>
      <w:r w:rsidRPr="00945545">
        <w:t>ment. A simulated workplace environment must reflect realistic operational workplace conditions that cover all aspects of workplace performance, including the environment, task skills, task management skills, contingency management skills and job role envi</w:t>
      </w:r>
      <w:r w:rsidRPr="00945545">
        <w:t>ronment skills.</w:t>
      </w:r>
    </w:p>
    <w:p w:rsidR="00000000" w:rsidRPr="00945545" w:rsidP="00945545">
      <w:pPr>
        <w:pStyle w:val="ListBullet"/>
      </w:pPr>
      <w:r w:rsidRPr="00945545">
        <w:t xml:space="preserve">Foundation skills are integral to competent performance of the unit and should not be assessed separately. </w:t>
      </w:r>
    </w:p>
    <w:p w:rsidR="00000000" w:rsidRPr="00945545" w:rsidP="00945545">
      <w:pPr>
        <w:pStyle w:val="ListBullet"/>
      </w:pPr>
      <w:r w:rsidRPr="00945545">
        <w:t>Assessment processes and techniques must be appropriate to the language, literacy and numeracy requirements of the work being perfor</w:t>
      </w:r>
      <w:r w:rsidRPr="00945545">
        <w:t>med and the needs of the candidate.</w:t>
      </w:r>
    </w:p>
    <w:p w:rsidR="00000000" w:rsidRPr="00945545" w:rsidP="00945545">
      <w:pPr>
        <w:pStyle w:val="ListBullet"/>
      </w:pPr>
      <w:r w:rsidRPr="00945545">
        <w:t>Knowledge evidence may be collected concurrently with performance evidence or through an independent process, such as workbooks, written assessments or interviews (provided a record is kept in each case).</w:t>
      </w:r>
    </w:p>
    <w:p w:rsidR="00000000" w:rsidRPr="00945545" w:rsidP="00945545">
      <w:pPr>
        <w:pStyle w:val="ListBullet"/>
      </w:pPr>
      <w:r w:rsidRPr="00945545">
        <w:t>This unit of co</w:t>
      </w:r>
      <w:r w:rsidRPr="00945545">
        <w:t xml:space="preserve">mpetency may be assessed with: </w:t>
      </w:r>
    </w:p>
    <w:p w:rsidR="00000000" w:rsidRPr="00945545" w:rsidP="00945545">
      <w:pPr>
        <w:pStyle w:val="ListBullet2"/>
      </w:pPr>
      <w:r w:rsidRPr="00945545">
        <w:t>MSL925001 Analyse data and report results</w:t>
      </w:r>
    </w:p>
    <w:p w:rsidR="00000000" w:rsidRPr="00945545" w:rsidP="00945545">
      <w:pPr>
        <w:pStyle w:val="ListBullet2"/>
      </w:pPr>
      <w:r w:rsidRPr="00945545">
        <w:t>MSL925002 Analyse measurements and estimate uncertainties</w:t>
      </w:r>
    </w:p>
    <w:p w:rsidR="00000000" w:rsidRPr="00945545" w:rsidP="00945545">
      <w:pPr>
        <w:pStyle w:val="ListBullet"/>
      </w:pPr>
      <w:r w:rsidRPr="00945545">
        <w:t xml:space="preserve">Holistic assessment methods include: </w:t>
      </w:r>
    </w:p>
    <w:p w:rsidR="00000000" w:rsidRPr="00945545" w:rsidP="00945545">
      <w:pPr>
        <w:pStyle w:val="ListBullet2"/>
      </w:pPr>
      <w:r w:rsidRPr="00945545">
        <w:t>review of documented calibration procedures modified or developed by the candidate and associated validation data</w:t>
      </w:r>
    </w:p>
    <w:p w:rsidR="00000000" w:rsidRPr="00945545" w:rsidP="00945545">
      <w:pPr>
        <w:pStyle w:val="ListBullet2"/>
      </w:pPr>
      <w:r w:rsidRPr="00945545">
        <w:t>feedback from supervisors and/or customers regarding quality of calibration procedures developed or modified by the candidate</w:t>
      </w:r>
    </w:p>
    <w:p w:rsidR="00000000" w:rsidRPr="00945545" w:rsidP="00945545">
      <w:pPr>
        <w:pStyle w:val="ListBullet2"/>
      </w:pPr>
      <w:r w:rsidRPr="00945545">
        <w:t>observation of t</w:t>
      </w:r>
      <w:r w:rsidRPr="00945545">
        <w:t>he candidate creating/modifying calibration procedures</w:t>
      </w:r>
    </w:p>
    <w:p w:rsidR="00000000" w:rsidRPr="00945545" w:rsidP="00945545">
      <w:pPr>
        <w:pStyle w:val="ListBullet2"/>
      </w:pPr>
      <w:r w:rsidRPr="00945545">
        <w:t>oral or written questioning to check required knowledge of complex calibration procedures.</w:t>
      </w:r>
    </w:p>
    <w:p w:rsidR="00000000" w:rsidRPr="00945545" w:rsidP="00945545">
      <w:pPr>
        <w:pStyle w:val="ListBullet"/>
      </w:pPr>
      <w:r w:rsidRPr="00945545">
        <w:t>Access is required to instruments, equipment, materials, workplace documentation, procedures and specificatio</w:t>
      </w:r>
      <w:r w:rsidRPr="00945545">
        <w:t>ns associated with this unit, including, but not limited to:</w:t>
      </w:r>
    </w:p>
    <w:p w:rsidR="00000000" w:rsidRPr="00945545" w:rsidP="00945545">
      <w:pPr>
        <w:pStyle w:val="ListBullet2"/>
      </w:pPr>
      <w:r w:rsidRPr="00945545">
        <w:t>specialised calibration/test equipment, reference standards and materials and laboratory facilities</w:t>
      </w:r>
    </w:p>
    <w:p w:rsidR="00000000" w:rsidRPr="00945545" w:rsidP="00945545">
      <w:pPr>
        <w:pStyle w:val="ListBullet2"/>
      </w:pPr>
      <w:r w:rsidRPr="00945545">
        <w:t>access to a library of calibration methods, procedures and equipment specifications</w:t>
      </w:r>
    </w:p>
    <w:p w:rsidR="00000000" w:rsidRPr="00945545" w:rsidP="00945545">
      <w:pPr>
        <w:pStyle w:val="ListBullet2"/>
      </w:pPr>
      <w:r w:rsidRPr="00945545">
        <w:t xml:space="preserve">workplace </w:t>
      </w:r>
      <w:r w:rsidRPr="00945545">
        <w:t>quality manual and procedures.</w:t>
      </w:r>
    </w:p>
    <w:p w:rsidR="00000000" w:rsidRPr="00945545" w:rsidP="00945545">
      <w:pPr>
        <w:pStyle w:val="ListBullet"/>
      </w:pPr>
      <w:r w:rsidRPr="00945545">
        <w:t xml:space="preserve">Assessors must satisfy the assessor competency requirements that are in place at the time of the </w:t>
      </w:r>
      <w:r w:rsidRPr="00945545">
        <w:t xml:space="preserve">assessment as set by the VET regulator.  </w:t>
      </w:r>
    </w:p>
    <w:p w:rsidR="00000000" w:rsidRPr="00945545" w:rsidP="00945545">
      <w:pPr>
        <w:pStyle w:val="ListBullet"/>
      </w:pPr>
      <w:r w:rsidRPr="00945545">
        <w:t>The assessor must demonstrate both technical competence and currency.</w:t>
      </w:r>
    </w:p>
    <w:p w:rsidR="00000000" w:rsidRPr="00945545" w:rsidP="00945545">
      <w:pPr>
        <w:pStyle w:val="ListBullet"/>
      </w:pPr>
      <w:r w:rsidRPr="00945545">
        <w:t>Technical compe</w:t>
      </w:r>
      <w:r w:rsidRPr="00945545">
        <w:t>tence can be demonstrated through:</w:t>
      </w:r>
    </w:p>
    <w:p w:rsidR="00000000" w:rsidRPr="00945545" w:rsidP="00945545">
      <w:pPr>
        <w:pStyle w:val="ListBullet2"/>
      </w:pPr>
      <w:r w:rsidRPr="00945545">
        <w:t>relevant VET or other qualification/Statement of Attainment AND/OR</w:t>
      </w:r>
    </w:p>
    <w:p w:rsidR="00000000" w:rsidRPr="00945545" w:rsidP="00945545">
      <w:pPr>
        <w:pStyle w:val="ListBullet2"/>
      </w:pPr>
      <w:r w:rsidRPr="00945545">
        <w:t>relevant workplace experience.</w:t>
      </w:r>
    </w:p>
    <w:p w:rsidR="00000000" w:rsidRPr="00945545" w:rsidP="00945545">
      <w:pPr>
        <w:pStyle w:val="ListBullet"/>
      </w:pPr>
      <w:r w:rsidRPr="00945545">
        <w:t>Currency can be demonstrated through:</w:t>
      </w:r>
    </w:p>
    <w:p w:rsidR="00000000" w:rsidRPr="00945545" w:rsidP="00945545">
      <w:pPr>
        <w:pStyle w:val="ListBullet2"/>
      </w:pPr>
      <w:r w:rsidRPr="00945545">
        <w:t>performing the competency being assessed as part of current employment OR</w:t>
      </w:r>
    </w:p>
    <w:p w:rsidR="00000000" w:rsidRPr="00945545" w:rsidP="00945545">
      <w:pPr>
        <w:pStyle w:val="ListBullet2"/>
      </w:pPr>
      <w:r w:rsidRPr="00945545">
        <w:t>having consulted with a laboratory about performing the competency being assessed within the last twelve months.</w:t>
      </w:r>
    </w:p>
    <w:p w:rsidR="00000000" w:rsidRPr="00945545" w:rsidP="00945545">
      <w:pPr>
        <w:pStyle w:val="AllowPageBreak"/>
      </w:pPr>
    </w:p>
    <w:p w:rsidR="00000000" w:rsidRPr="00945545" w:rsidP="00945545">
      <w:pPr>
        <w:pStyle w:val="Heading1"/>
      </w:pPr>
      <w:bookmarkStart w:id="15" w:name="O_902745"/>
      <w:bookmarkEnd w:id="15"/>
      <w:r w:rsidRPr="00945545">
        <w:t>Links</w:t>
      </w:r>
    </w:p>
    <w:p w:rsidR="00000000" w:rsidRPr="00945545" w:rsidP="00984149">
      <w:pPr>
        <w:pStyle w:val="BodyText"/>
      </w:pPr>
      <w:r w:rsidRPr="00945545">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FC1708">
        <w:rPr>
          <w:rStyle w:val="Hyperlink"/>
        </w:rPr>
        <w:t>https://vetnet.gov.au/Pages/TrainingDocs.aspx?q=5c63a03b-4a6b-4ae5-9560-1e3c5f462baa</w:t>
      </w:r>
      <w:r>
        <w:fldChar w:fldCharType="end"/>
      </w:r>
    </w:p>
    <w:p w:rsidR="00000000" w:rsidRPr="00945545" w:rsidP="00945545"/>
    <w:sectPr w:rsidSect="0094554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5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545" w:rsidRPr="00984149" w:rsidP="009841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5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149" w:rsidP="009455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984149" w:rsidP="0094554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84149" w:rsidP="0094554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545" w:rsidP="00945545">
    <w:pPr>
      <w:pStyle w:val="Footer"/>
      <w:framePr w:wrap="around"/>
    </w:pPr>
    <w:r>
      <w:fldChar w:fldCharType="begin"/>
    </w:r>
    <w:r>
      <w:instrText xml:space="preserve"> DOCPROPERTY  Subject  \* MERGEFORMAT </w:instrText>
    </w:r>
    <w:r>
      <w:fldChar w:fldCharType="separate"/>
    </w:r>
    <w:r w:rsidR="00984149">
      <w:t>Approved</w:t>
    </w:r>
    <w:r w:rsidR="00984149">
      <w:fldChar w:fldCharType="end"/>
    </w:r>
    <w:r>
      <w:tab/>
      <w:t xml:space="preserve">Page </w:t>
    </w:r>
    <w:r>
      <w:fldChar w:fldCharType="begin"/>
    </w:r>
    <w:r>
      <w:instrText xml:space="preserve"> PAGE  \* Arabic  \* MERGEFORMAT </w:instrText>
    </w:r>
    <w:r>
      <w:fldChar w:fldCharType="separate"/>
    </w:r>
    <w:r w:rsidR="00984149">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84149">
      <w:rPr>
        <w:noProof/>
      </w:rPr>
      <w:t>7</w:t>
    </w:r>
    <w:r>
      <w:rPr>
        <w:noProof/>
      </w:rPr>
      <w:fldChar w:fldCharType="end"/>
    </w:r>
  </w:p>
  <w:p w:rsidR="00945545" w:rsidP="00945545">
    <w:pPr>
      <w:pStyle w:val="Footer"/>
      <w:framePr w:wrap="around"/>
    </w:pPr>
    <w:r>
      <w:t xml:space="preserve">© Commonwealth of Australia, </w:t>
    </w:r>
    <w:r>
      <w:fldChar w:fldCharType="begin"/>
    </w:r>
    <w:r>
      <w:instrText xml:space="preserve"> DATE  \@ "yyyy"  \* MERGEFORMAT </w:instrText>
    </w:r>
    <w:r>
      <w:fldChar w:fldCharType="separate"/>
    </w:r>
    <w:r w:rsidR="00984149">
      <w:rPr>
        <w:noProof/>
      </w:rPr>
      <w:t>2025</w:t>
    </w:r>
    <w:r>
      <w:fldChar w:fldCharType="end"/>
    </w:r>
    <w:r>
      <w:tab/>
    </w:r>
    <w:r>
      <w:fldChar w:fldCharType="begin"/>
    </w:r>
    <w:r>
      <w:instrText xml:space="preserve"> DOCPROPERTY  Author  \* MERGEFORMAT </w:instrText>
    </w:r>
    <w:r>
      <w:fldChar w:fldCharType="separate"/>
    </w:r>
    <w:r w:rsidR="00984149">
      <w:t>Manufacturing Industry Skills Alliance</w:t>
    </w:r>
    <w:r w:rsidR="00984149">
      <w:fldChar w:fldCharType="end"/>
    </w:r>
  </w:p>
  <w:p w:rsidR="00945545" w:rsidP="009455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5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1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5545" w:rsidRPr="00984149" w:rsidP="009841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5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149" w:rsidRPr="002D2AF8" w:rsidP="00945545">
    <w:pPr>
      <w:pStyle w:val="Header"/>
      <w:framePr w:wrap="around"/>
    </w:pPr>
    <w:r>
      <w:fldChar w:fldCharType="begin"/>
    </w:r>
    <w:r>
      <w:instrText xml:space="preserve"> TITLE   \* MERGEFORMAT </w:instrText>
    </w:r>
    <w:r>
      <w:fldChar w:fldCharType="separate"/>
    </w:r>
    <w:r>
      <w:t>MSL905002 Create or modify calibration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84149" w:rsidP="0094554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545" w:rsidRPr="002D2AF8" w:rsidP="00945545">
    <w:pPr>
      <w:pStyle w:val="Header"/>
      <w:framePr w:wrap="around"/>
    </w:pPr>
    <w:r>
      <w:fldChar w:fldCharType="begin"/>
    </w:r>
    <w:r>
      <w:instrText xml:space="preserve"> TITLE   \* MERGEFORMAT </w:instrText>
    </w:r>
    <w:r>
      <w:fldChar w:fldCharType="separate"/>
    </w:r>
    <w:r w:rsidR="00984149">
      <w:t>MSL905002 Create or modify calibration procedures</w:t>
    </w:r>
    <w:r w:rsidR="00984149">
      <w:fldChar w:fldCharType="end"/>
    </w:r>
    <w:r>
      <w:tab/>
      <w:t xml:space="preserve">Date this document was generated: </w:t>
    </w:r>
    <w:r>
      <w:fldChar w:fldCharType="begin"/>
    </w:r>
    <w:r>
      <w:instrText xml:space="preserve"> CREATEDATE  \@ "d MMMM yyyy"  \* MERGEFORMAT </w:instrText>
    </w:r>
    <w:r>
      <w:fldChar w:fldCharType="separate"/>
    </w:r>
    <w:r w:rsidR="00984149">
      <w:rPr>
        <w:noProof/>
      </w:rPr>
      <w:t>2 March 2025</w:t>
    </w:r>
    <w:r>
      <w:fldChar w:fldCharType="end"/>
    </w:r>
  </w:p>
  <w:p w:rsidR="00945545" w:rsidP="009455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8891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6819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50BF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55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5545"/>
    <w:pPr>
      <w:spacing w:before="360" w:after="60"/>
      <w:outlineLvl w:val="0"/>
    </w:pPr>
    <w:rPr>
      <w:sz w:val="32"/>
    </w:rPr>
  </w:style>
  <w:style w:type="paragraph" w:styleId="Heading2">
    <w:name w:val="heading 2"/>
    <w:basedOn w:val="HeadingBase"/>
    <w:next w:val="BodyText"/>
    <w:link w:val="Heading2Char"/>
    <w:qFormat/>
    <w:rsid w:val="00945545"/>
    <w:pPr>
      <w:keepLines/>
      <w:spacing w:before="240" w:after="120"/>
      <w:outlineLvl w:val="1"/>
    </w:pPr>
    <w:rPr>
      <w:sz w:val="28"/>
      <w:szCs w:val="40"/>
    </w:rPr>
  </w:style>
  <w:style w:type="paragraph" w:styleId="Heading3">
    <w:name w:val="heading 3"/>
    <w:basedOn w:val="HeadingBase"/>
    <w:next w:val="BodyText"/>
    <w:link w:val="Heading3Char"/>
    <w:qFormat/>
    <w:rsid w:val="00945545"/>
    <w:pPr>
      <w:spacing w:before="180" w:after="120"/>
      <w:outlineLvl w:val="2"/>
    </w:pPr>
    <w:rPr>
      <w:spacing w:val="-10"/>
      <w:kern w:val="32"/>
    </w:rPr>
  </w:style>
  <w:style w:type="paragraph" w:styleId="Heading4">
    <w:name w:val="heading 4"/>
    <w:basedOn w:val="HeadingBase"/>
    <w:next w:val="BodyText"/>
    <w:link w:val="Heading4Char"/>
    <w:qFormat/>
    <w:rsid w:val="00945545"/>
    <w:pPr>
      <w:spacing w:before="160" w:after="120"/>
      <w:outlineLvl w:val="3"/>
    </w:pPr>
    <w:rPr>
      <w:sz w:val="22"/>
    </w:rPr>
  </w:style>
  <w:style w:type="paragraph" w:styleId="Heading5">
    <w:name w:val="heading 5"/>
    <w:basedOn w:val="HeadingBase"/>
    <w:next w:val="Normal"/>
    <w:link w:val="Heading5Char"/>
    <w:qFormat/>
    <w:rsid w:val="00945545"/>
    <w:pPr>
      <w:spacing w:before="80"/>
      <w:outlineLvl w:val="4"/>
    </w:pPr>
    <w:rPr>
      <w:color w:val="918585"/>
      <w:sz w:val="20"/>
    </w:rPr>
  </w:style>
  <w:style w:type="paragraph" w:styleId="Heading6">
    <w:name w:val="heading 6"/>
    <w:basedOn w:val="HeadingBase"/>
    <w:next w:val="Normal"/>
    <w:link w:val="Heading6Char"/>
    <w:qFormat/>
    <w:rsid w:val="00945545"/>
    <w:pPr>
      <w:spacing w:before="60"/>
      <w:outlineLvl w:val="5"/>
    </w:pPr>
    <w:rPr>
      <w:color w:val="918585"/>
      <w:sz w:val="20"/>
    </w:rPr>
  </w:style>
  <w:style w:type="paragraph" w:styleId="Heading7">
    <w:name w:val="heading 7"/>
    <w:basedOn w:val="Normal"/>
    <w:next w:val="Normal"/>
    <w:link w:val="Heading7Char"/>
    <w:qFormat/>
    <w:rsid w:val="00945545"/>
    <w:pPr>
      <w:ind w:left="720"/>
      <w:outlineLvl w:val="6"/>
    </w:pPr>
    <w:rPr>
      <w:i/>
    </w:rPr>
  </w:style>
  <w:style w:type="paragraph" w:styleId="Heading8">
    <w:name w:val="heading 8"/>
    <w:basedOn w:val="Normal"/>
    <w:next w:val="Normal"/>
    <w:link w:val="Heading8Char"/>
    <w:qFormat/>
    <w:rsid w:val="00945545"/>
    <w:pPr>
      <w:ind w:left="720"/>
      <w:outlineLvl w:val="7"/>
    </w:pPr>
    <w:rPr>
      <w:i/>
    </w:rPr>
  </w:style>
  <w:style w:type="paragraph" w:styleId="Heading9">
    <w:name w:val="heading 9"/>
    <w:basedOn w:val="Normal"/>
    <w:next w:val="Normal"/>
    <w:link w:val="Heading9Char"/>
    <w:qFormat/>
    <w:rsid w:val="00945545"/>
    <w:pPr>
      <w:ind w:left="720"/>
      <w:outlineLvl w:val="8"/>
    </w:pPr>
    <w:rPr>
      <w:i/>
    </w:rPr>
  </w:style>
  <w:style w:type="character" w:default="1" w:styleId="DefaultParagraphFont">
    <w:name w:val="Default Paragraph Font"/>
    <w:uiPriority w:val="1"/>
    <w:unhideWhenUsed/>
    <w:rsid w:val="009455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5545"/>
  </w:style>
  <w:style w:type="character" w:customStyle="1" w:styleId="Heading1Char">
    <w:name w:val="Heading 1 Char"/>
    <w:basedOn w:val="DefaultParagraphFont"/>
    <w:link w:val="Heading1"/>
    <w:rsid w:val="00945545"/>
    <w:rPr>
      <w:rFonts w:ascii="Times New Roman" w:eastAsia="Times New Roman" w:hAnsi="Times New Roman" w:cs="Times New Roman"/>
      <w:b/>
      <w:sz w:val="32"/>
      <w:szCs w:val="20"/>
      <w:lang w:eastAsia="en-US"/>
    </w:rPr>
  </w:style>
  <w:style w:type="paragraph" w:styleId="BodyText">
    <w:name w:val="Body Text"/>
    <w:basedOn w:val="Normal"/>
    <w:link w:val="BodyTextChar"/>
    <w:rsid w:val="009455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5545"/>
    <w:rPr>
      <w:rFonts w:ascii="Times New Roman" w:eastAsia="Times New Roman" w:hAnsi="Times New Roman" w:cs="Times New Roman"/>
      <w:sz w:val="24"/>
      <w:lang w:eastAsia="en-US"/>
    </w:rPr>
  </w:style>
  <w:style w:type="paragraph" w:styleId="ListBullet">
    <w:name w:val="List Bullet"/>
    <w:basedOn w:val="List"/>
    <w:rsid w:val="00945545"/>
    <w:pPr>
      <w:numPr>
        <w:numId w:val="12"/>
      </w:numPr>
      <w:tabs>
        <w:tab w:val="clear" w:pos="340"/>
      </w:tabs>
      <w:spacing w:before="40" w:after="40"/>
    </w:pPr>
  </w:style>
  <w:style w:type="character" w:customStyle="1" w:styleId="SpecialBold">
    <w:name w:val="Special Bold"/>
    <w:basedOn w:val="DefaultParagraphFont"/>
    <w:rsid w:val="00945545"/>
    <w:rPr>
      <w:b/>
      <w:spacing w:val="0"/>
    </w:rPr>
  </w:style>
  <w:style w:type="paragraph" w:styleId="ListBullet2">
    <w:name w:val="List Bullet 2"/>
    <w:basedOn w:val="List2"/>
    <w:rsid w:val="00945545"/>
    <w:pPr>
      <w:numPr>
        <w:numId w:val="13"/>
      </w:numPr>
      <w:tabs>
        <w:tab w:val="clear" w:pos="680"/>
      </w:tabs>
    </w:pPr>
  </w:style>
  <w:style w:type="paragraph" w:customStyle="1" w:styleId="SuperHeading">
    <w:name w:val="SuperHeading"/>
    <w:basedOn w:val="Normal"/>
    <w:rsid w:val="00945545"/>
    <w:pPr>
      <w:spacing w:before="240" w:after="120"/>
      <w:outlineLvl w:val="0"/>
    </w:pPr>
    <w:rPr>
      <w:rFonts w:ascii="Times New Roman" w:hAnsi="Times New Roman"/>
      <w:b/>
      <w:sz w:val="32"/>
    </w:rPr>
  </w:style>
  <w:style w:type="paragraph" w:customStyle="1" w:styleId="AllowPageBreak">
    <w:name w:val="AllowPageBreak"/>
    <w:rsid w:val="009455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945545"/>
    <w:rPr>
      <w:rFonts w:ascii="Symbol" w:hAnsi="Symbol"/>
    </w:rPr>
  </w:style>
  <w:style w:type="character" w:customStyle="1" w:styleId="Heading2Char">
    <w:name w:val="Heading 2 Char"/>
    <w:basedOn w:val="DefaultParagraphFont"/>
    <w:link w:val="Heading2"/>
    <w:rsid w:val="009455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55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55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55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55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55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55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5545"/>
    <w:rPr>
      <w:rFonts w:ascii="Courier New" w:eastAsia="Times New Roman" w:hAnsi="Courier New" w:cs="Times New Roman"/>
      <w:i/>
      <w:szCs w:val="20"/>
      <w:lang w:eastAsia="en-US"/>
    </w:rPr>
  </w:style>
  <w:style w:type="paragraph" w:customStyle="1" w:styleId="HeadingBase">
    <w:name w:val="Heading Base"/>
    <w:rsid w:val="009455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5545"/>
    <w:pPr>
      <w:tabs>
        <w:tab w:val="right" w:leader="dot" w:pos="9072"/>
      </w:tabs>
      <w:ind w:left="567"/>
    </w:pPr>
    <w:rPr>
      <w:szCs w:val="22"/>
    </w:rPr>
  </w:style>
  <w:style w:type="paragraph" w:customStyle="1" w:styleId="TOCBase">
    <w:name w:val="TOC Base"/>
    <w:rsid w:val="009455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5545"/>
    <w:pPr>
      <w:tabs>
        <w:tab w:val="right" w:leader="dot" w:pos="9072"/>
      </w:tabs>
      <w:spacing w:before="40" w:after="40"/>
      <w:ind w:left="284"/>
    </w:pPr>
    <w:rPr>
      <w:rFonts w:ascii="Times New Roman" w:hAnsi="Times New Roman"/>
    </w:rPr>
  </w:style>
  <w:style w:type="paragraph" w:styleId="TOC1">
    <w:name w:val="toc 1"/>
    <w:basedOn w:val="TOCBase"/>
    <w:next w:val="Normal"/>
    <w:rsid w:val="009455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55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5545"/>
    <w:rPr>
      <w:rFonts w:ascii="Times New Roman" w:eastAsia="Times New Roman" w:hAnsi="Times New Roman" w:cs="Times New Roman"/>
      <w:sz w:val="16"/>
      <w:lang w:eastAsia="en-US"/>
    </w:rPr>
  </w:style>
  <w:style w:type="paragraph" w:styleId="Title">
    <w:name w:val="Title"/>
    <w:basedOn w:val="HeadingBase"/>
    <w:link w:val="TitleChar"/>
    <w:qFormat/>
    <w:rsid w:val="00945545"/>
    <w:pPr>
      <w:spacing w:before="5040"/>
      <w:jc w:val="center"/>
    </w:pPr>
    <w:rPr>
      <w:sz w:val="48"/>
      <w:szCs w:val="72"/>
      <w:lang w:val="en-US"/>
    </w:rPr>
  </w:style>
  <w:style w:type="character" w:customStyle="1" w:styleId="TitleChar">
    <w:name w:val="Title Char"/>
    <w:basedOn w:val="DefaultParagraphFont"/>
    <w:link w:val="Title"/>
    <w:rsid w:val="009455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5545"/>
    <w:pPr>
      <w:tabs>
        <w:tab w:val="left" w:pos="3600"/>
        <w:tab w:val="left" w:pos="3958"/>
      </w:tabs>
    </w:pPr>
  </w:style>
  <w:style w:type="paragraph" w:styleId="List">
    <w:name w:val="List"/>
    <w:basedOn w:val="BodyText"/>
    <w:next w:val="BodyText"/>
    <w:rsid w:val="00945545"/>
    <w:pPr>
      <w:tabs>
        <w:tab w:val="left" w:pos="340"/>
      </w:tabs>
      <w:spacing w:before="60" w:after="60"/>
      <w:ind w:left="340" w:hanging="340"/>
    </w:pPr>
  </w:style>
  <w:style w:type="paragraph" w:customStyle="1" w:styleId="Note">
    <w:name w:val="Note"/>
    <w:basedOn w:val="BodyText"/>
    <w:rsid w:val="009455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5545"/>
    <w:pPr>
      <w:framePr w:wrap="auto" w:hAnchor="text" w:y="6049"/>
    </w:pPr>
    <w:rPr>
      <w:color w:val="000000"/>
      <w:sz w:val="40"/>
    </w:rPr>
  </w:style>
  <w:style w:type="paragraph" w:customStyle="1" w:styleId="TOCTitle">
    <w:name w:val="TOCTitle"/>
    <w:basedOn w:val="Heading1"/>
    <w:rsid w:val="00945545"/>
    <w:pPr>
      <w:spacing w:after="240"/>
      <w:jc w:val="center"/>
      <w:outlineLvl w:val="9"/>
    </w:pPr>
    <w:rPr>
      <w:caps/>
    </w:rPr>
  </w:style>
  <w:style w:type="paragraph" w:customStyle="1" w:styleId="Version">
    <w:name w:val="Version"/>
    <w:rsid w:val="009455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5545"/>
    <w:pPr>
      <w:keepNext w:val="0"/>
      <w:tabs>
        <w:tab w:val="right" w:pos="4176"/>
      </w:tabs>
      <w:ind w:left="198" w:hanging="198"/>
    </w:pPr>
    <w:rPr>
      <w:rFonts w:ascii="Garamond" w:hAnsi="Garamond"/>
    </w:rPr>
  </w:style>
  <w:style w:type="paragraph" w:styleId="IndexHeading">
    <w:name w:val="index heading"/>
    <w:basedOn w:val="Normal"/>
    <w:next w:val="Index1"/>
    <w:semiHidden/>
    <w:rsid w:val="00945545"/>
    <w:pPr>
      <w:spacing w:before="120" w:after="120"/>
    </w:pPr>
    <w:rPr>
      <w:rFonts w:ascii="Arial" w:hAnsi="Arial"/>
      <w:b/>
      <w:color w:val="918585"/>
      <w:sz w:val="24"/>
    </w:rPr>
  </w:style>
  <w:style w:type="paragraph" w:styleId="Header">
    <w:name w:val="header"/>
    <w:basedOn w:val="Normal"/>
    <w:link w:val="HeaderChar"/>
    <w:rsid w:val="009455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5545"/>
    <w:rPr>
      <w:rFonts w:ascii="Times New Roman" w:eastAsia="Times New Roman" w:hAnsi="Times New Roman" w:cs="Times New Roman"/>
      <w:sz w:val="16"/>
      <w:szCs w:val="20"/>
      <w:lang w:val="en-GB" w:eastAsia="en-US"/>
    </w:rPr>
  </w:style>
  <w:style w:type="paragraph" w:customStyle="1" w:styleId="Chapter">
    <w:name w:val="Chapter"/>
    <w:basedOn w:val="Normal"/>
    <w:rsid w:val="00945545"/>
    <w:pPr>
      <w:spacing w:before="240"/>
    </w:pPr>
    <w:rPr>
      <w:rFonts w:ascii="Times New Roman" w:hAnsi="Times New Roman"/>
      <w:smallCaps/>
      <w:spacing w:val="80"/>
      <w:sz w:val="28"/>
    </w:rPr>
  </w:style>
  <w:style w:type="paragraph" w:customStyle="1" w:styleId="InChapter">
    <w:name w:val="InChapter"/>
    <w:basedOn w:val="Heading3"/>
    <w:rsid w:val="00945545"/>
    <w:pPr>
      <w:spacing w:after="240"/>
      <w:outlineLvl w:val="9"/>
    </w:pPr>
    <w:rPr>
      <w:noProof/>
    </w:rPr>
  </w:style>
  <w:style w:type="paragraph" w:styleId="Index2">
    <w:name w:val="index 2"/>
    <w:basedOn w:val="Normal"/>
    <w:next w:val="Normal"/>
    <w:semiHidden/>
    <w:rsid w:val="00945545"/>
    <w:pPr>
      <w:tabs>
        <w:tab w:val="right" w:pos="4176"/>
      </w:tabs>
      <w:ind w:left="568" w:hanging="284"/>
    </w:pPr>
    <w:rPr>
      <w:rFonts w:ascii="Garamond" w:hAnsi="Garamond"/>
    </w:rPr>
  </w:style>
  <w:style w:type="paragraph" w:customStyle="1" w:styleId="Byline">
    <w:name w:val="Byline"/>
    <w:rsid w:val="009455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5545"/>
    <w:pPr>
      <w:tabs>
        <w:tab w:val="clear" w:pos="3600"/>
        <w:tab w:val="clear" w:pos="3958"/>
      </w:tabs>
      <w:jc w:val="right"/>
    </w:pPr>
  </w:style>
  <w:style w:type="character" w:styleId="Emphasis">
    <w:name w:val="Emphasis"/>
    <w:basedOn w:val="DefaultParagraphFont"/>
    <w:qFormat/>
    <w:rsid w:val="00945545"/>
    <w:rPr>
      <w:i/>
    </w:rPr>
  </w:style>
  <w:style w:type="paragraph" w:styleId="Caption">
    <w:name w:val="caption"/>
    <w:basedOn w:val="BodyText"/>
    <w:next w:val="Normal"/>
    <w:qFormat/>
    <w:rsid w:val="00945545"/>
    <w:pPr>
      <w:framePr w:w="2268" w:hSpace="181" w:vSpace="181" w:wrap="around" w:vAnchor="text" w:hAnchor="page" w:x="1135" w:y="285" w:anchorLock="1"/>
    </w:pPr>
    <w:rPr>
      <w:i/>
    </w:rPr>
  </w:style>
  <w:style w:type="paragraph" w:customStyle="1" w:styleId="MiniTOCTitle">
    <w:name w:val="MiniTOCTitle"/>
    <w:basedOn w:val="Heading4"/>
    <w:rsid w:val="00945545"/>
    <w:pPr>
      <w:spacing w:before="240"/>
      <w:outlineLvl w:val="9"/>
    </w:pPr>
    <w:rPr>
      <w:noProof/>
      <w:sz w:val="24"/>
    </w:rPr>
  </w:style>
  <w:style w:type="paragraph" w:customStyle="1" w:styleId="MiniTOCItem">
    <w:name w:val="MiniTOCItem"/>
    <w:basedOn w:val="ListBullet"/>
    <w:rsid w:val="00945545"/>
    <w:pPr>
      <w:numPr>
        <w:numId w:val="0"/>
      </w:numPr>
      <w:tabs>
        <w:tab w:val="right" w:leader="dot" w:pos="6521"/>
      </w:tabs>
      <w:spacing w:before="0" w:after="0"/>
    </w:pPr>
  </w:style>
  <w:style w:type="paragraph" w:customStyle="1" w:styleId="TOFTitle">
    <w:name w:val="TOFTitle"/>
    <w:basedOn w:val="TOCTitle"/>
    <w:rsid w:val="00945545"/>
  </w:style>
  <w:style w:type="paragraph" w:styleId="TableofFigures">
    <w:name w:val="table of figures"/>
    <w:basedOn w:val="Normal"/>
    <w:next w:val="Normal"/>
    <w:semiHidden/>
    <w:rsid w:val="00945545"/>
    <w:pPr>
      <w:tabs>
        <w:tab w:val="right" w:leader="dot" w:pos="9072"/>
      </w:tabs>
      <w:ind w:left="970" w:hanging="403"/>
    </w:pPr>
    <w:rPr>
      <w:rFonts w:ascii="Times New Roman" w:hAnsi="Times New Roman"/>
      <w:b/>
    </w:rPr>
  </w:style>
  <w:style w:type="paragraph" w:styleId="ListNumber">
    <w:name w:val="List Number"/>
    <w:basedOn w:val="List"/>
    <w:rsid w:val="00945545"/>
    <w:pPr>
      <w:numPr>
        <w:numId w:val="15"/>
      </w:numPr>
      <w:tabs>
        <w:tab w:val="clear" w:pos="340"/>
      </w:tabs>
    </w:pPr>
  </w:style>
  <w:style w:type="character" w:customStyle="1" w:styleId="WingdingSymbols">
    <w:name w:val="Wingding Symbols"/>
    <w:rsid w:val="00945545"/>
    <w:rPr>
      <w:rFonts w:ascii="Wingdings" w:hAnsi="Wingdings"/>
    </w:rPr>
  </w:style>
  <w:style w:type="paragraph" w:customStyle="1" w:styleId="TableHeading">
    <w:name w:val="Table Heading"/>
    <w:basedOn w:val="HeadingBase"/>
    <w:rsid w:val="00945545"/>
    <w:pPr>
      <w:keepLines/>
      <w:pBdr>
        <w:bottom w:val="single" w:sz="6" w:space="1" w:color="918585"/>
      </w:pBdr>
      <w:spacing w:before="240"/>
    </w:pPr>
  </w:style>
  <w:style w:type="character" w:customStyle="1" w:styleId="HotSpot">
    <w:name w:val="HotSpot"/>
    <w:rsid w:val="00945545"/>
    <w:rPr>
      <w:color w:val="0033CC"/>
      <w:u w:val="none"/>
    </w:rPr>
  </w:style>
  <w:style w:type="paragraph" w:customStyle="1" w:styleId="BodyTextRight">
    <w:name w:val="Body Text Right"/>
    <w:basedOn w:val="BodyText"/>
    <w:rsid w:val="00945545"/>
    <w:pPr>
      <w:spacing w:before="0" w:after="0"/>
      <w:jc w:val="right"/>
    </w:pPr>
  </w:style>
  <w:style w:type="paragraph" w:styleId="Index3">
    <w:name w:val="index 3"/>
    <w:basedOn w:val="ListNumber2"/>
    <w:next w:val="Normal"/>
    <w:semiHidden/>
    <w:rsid w:val="00945545"/>
    <w:pPr>
      <w:numPr>
        <w:numId w:val="0"/>
      </w:numPr>
      <w:tabs>
        <w:tab w:val="right" w:leader="dot" w:pos="4176"/>
      </w:tabs>
    </w:pPr>
  </w:style>
  <w:style w:type="paragraph" w:styleId="ListNumber2">
    <w:name w:val="List Number 2"/>
    <w:basedOn w:val="List2"/>
    <w:rsid w:val="00945545"/>
    <w:pPr>
      <w:numPr>
        <w:numId w:val="10"/>
      </w:numPr>
      <w:tabs>
        <w:tab w:val="clear" w:pos="1060"/>
      </w:tabs>
    </w:pPr>
  </w:style>
  <w:style w:type="paragraph" w:customStyle="1" w:styleId="MarginNote">
    <w:name w:val="Margin Note"/>
    <w:basedOn w:val="BodyText"/>
    <w:rsid w:val="009455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55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55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5545"/>
    <w:rPr>
      <w:sz w:val="32"/>
    </w:rPr>
  </w:style>
  <w:style w:type="paragraph" w:customStyle="1" w:styleId="HeadingProcedure">
    <w:name w:val="Heading Procedure"/>
    <w:basedOn w:val="HeadingBase"/>
    <w:next w:val="Normal"/>
    <w:rsid w:val="00945545"/>
    <w:pPr>
      <w:tabs>
        <w:tab w:val="left" w:pos="0"/>
      </w:tabs>
      <w:spacing w:before="120" w:after="60"/>
    </w:pPr>
    <w:rPr>
      <w:i/>
      <w:color w:val="918585"/>
      <w:sz w:val="22"/>
    </w:rPr>
  </w:style>
  <w:style w:type="paragraph" w:customStyle="1" w:styleId="TableBodyText">
    <w:name w:val="Table Body Text"/>
    <w:basedOn w:val="BodyText"/>
    <w:rsid w:val="00945545"/>
    <w:pPr>
      <w:spacing w:before="60" w:after="60"/>
    </w:pPr>
  </w:style>
  <w:style w:type="paragraph" w:styleId="ListContinue">
    <w:name w:val="List Continue"/>
    <w:basedOn w:val="List"/>
    <w:rsid w:val="00945545"/>
    <w:pPr>
      <w:ind w:firstLine="0"/>
    </w:pPr>
  </w:style>
  <w:style w:type="paragraph" w:customStyle="1" w:styleId="ListNote">
    <w:name w:val="List Note"/>
    <w:basedOn w:val="List"/>
    <w:rsid w:val="00945545"/>
    <w:pPr>
      <w:pBdr>
        <w:top w:val="single" w:sz="6" w:space="2" w:color="918585"/>
        <w:bottom w:val="single" w:sz="6" w:space="2" w:color="918585"/>
      </w:pBdr>
      <w:tabs>
        <w:tab w:val="left" w:pos="1021"/>
      </w:tabs>
      <w:ind w:firstLine="0"/>
    </w:pPr>
  </w:style>
  <w:style w:type="paragraph" w:customStyle="1" w:styleId="Warning">
    <w:name w:val="Warning"/>
    <w:basedOn w:val="BodyText"/>
    <w:rsid w:val="00945545"/>
    <w:pPr>
      <w:shd w:val="clear" w:color="auto" w:fill="D9D9D9"/>
      <w:tabs>
        <w:tab w:val="left" w:pos="992"/>
      </w:tabs>
      <w:ind w:left="119" w:right="119"/>
    </w:pPr>
    <w:rPr>
      <w:sz w:val="20"/>
    </w:rPr>
  </w:style>
  <w:style w:type="paragraph" w:customStyle="1" w:styleId="MarginIcons">
    <w:name w:val="Margin Icons"/>
    <w:basedOn w:val="BodyText"/>
    <w:rsid w:val="009455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5545"/>
    <w:rPr>
      <w:rFonts w:ascii="Courier New" w:hAnsi="Courier New"/>
    </w:rPr>
  </w:style>
  <w:style w:type="paragraph" w:customStyle="1" w:styleId="NoteBullet">
    <w:name w:val="Note Bullet"/>
    <w:basedOn w:val="Note"/>
    <w:rsid w:val="00945545"/>
    <w:pPr>
      <w:tabs>
        <w:tab w:val="clear" w:pos="680"/>
      </w:tabs>
      <w:spacing w:before="60" w:after="60"/>
    </w:pPr>
  </w:style>
  <w:style w:type="paragraph" w:customStyle="1" w:styleId="SubHeading2">
    <w:name w:val="SubHeading2"/>
    <w:basedOn w:val="HeadingBase"/>
    <w:rsid w:val="00945545"/>
    <w:pPr>
      <w:spacing w:before="240" w:after="60"/>
    </w:pPr>
    <w:rPr>
      <w:sz w:val="20"/>
    </w:rPr>
  </w:style>
  <w:style w:type="paragraph" w:customStyle="1" w:styleId="SubHeading1">
    <w:name w:val="SubHeading1"/>
    <w:basedOn w:val="HeadingBase"/>
    <w:rsid w:val="00945545"/>
    <w:pPr>
      <w:spacing w:before="240" w:after="60"/>
    </w:pPr>
    <w:rPr>
      <w:color w:val="918585"/>
      <w:sz w:val="22"/>
    </w:rPr>
  </w:style>
  <w:style w:type="paragraph" w:customStyle="1" w:styleId="SideHeading">
    <w:name w:val="Side Heading"/>
    <w:basedOn w:val="HeadingBase"/>
    <w:rsid w:val="009455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5545"/>
    <w:pPr>
      <w:tabs>
        <w:tab w:val="num" w:pos="360"/>
      </w:tabs>
    </w:pPr>
  </w:style>
  <w:style w:type="paragraph" w:styleId="PlainText">
    <w:name w:val="Plain Text"/>
    <w:basedOn w:val="Normal"/>
    <w:link w:val="PlainTextChar"/>
    <w:rsid w:val="00945545"/>
    <w:rPr>
      <w:sz w:val="20"/>
    </w:rPr>
  </w:style>
  <w:style w:type="character" w:customStyle="1" w:styleId="PlainTextChar">
    <w:name w:val="Plain Text Char"/>
    <w:basedOn w:val="DefaultParagraphFont"/>
    <w:link w:val="PlainText"/>
    <w:rsid w:val="00945545"/>
    <w:rPr>
      <w:rFonts w:ascii="Courier New" w:eastAsia="Times New Roman" w:hAnsi="Courier New" w:cs="Times New Roman"/>
      <w:sz w:val="20"/>
      <w:szCs w:val="20"/>
      <w:lang w:eastAsia="en-US"/>
    </w:rPr>
  </w:style>
  <w:style w:type="character" w:customStyle="1" w:styleId="MenuOption">
    <w:name w:val="Menu Option"/>
    <w:basedOn w:val="DefaultParagraphFont"/>
    <w:rsid w:val="00945545"/>
    <w:rPr>
      <w:b/>
      <w:smallCaps/>
    </w:rPr>
  </w:style>
  <w:style w:type="paragraph" w:customStyle="1" w:styleId="TableListNumber">
    <w:name w:val="Table List Number"/>
    <w:basedOn w:val="ListNumber"/>
    <w:rsid w:val="00945545"/>
    <w:pPr>
      <w:numPr>
        <w:numId w:val="0"/>
      </w:numPr>
    </w:pPr>
  </w:style>
  <w:style w:type="paragraph" w:styleId="TOC4">
    <w:name w:val="toc 4"/>
    <w:basedOn w:val="TOCBase"/>
    <w:next w:val="Normal"/>
    <w:semiHidden/>
    <w:rsid w:val="00945545"/>
    <w:pPr>
      <w:tabs>
        <w:tab w:val="right" w:leader="dot" w:pos="9071"/>
      </w:tabs>
      <w:ind w:left="1701"/>
    </w:pPr>
  </w:style>
  <w:style w:type="paragraph" w:customStyle="1" w:styleId="ListAlpha">
    <w:name w:val="List Alpha"/>
    <w:basedOn w:val="List"/>
    <w:rsid w:val="00945545"/>
    <w:pPr>
      <w:numPr>
        <w:numId w:val="9"/>
      </w:numPr>
    </w:pPr>
  </w:style>
  <w:style w:type="paragraph" w:customStyle="1" w:styleId="ListAlpha2">
    <w:name w:val="List Alpha 2"/>
    <w:basedOn w:val="List2"/>
    <w:rsid w:val="00945545"/>
    <w:pPr>
      <w:numPr>
        <w:numId w:val="8"/>
      </w:numPr>
    </w:pPr>
  </w:style>
  <w:style w:type="paragraph" w:styleId="List2">
    <w:name w:val="List 2"/>
    <w:basedOn w:val="BodyText"/>
    <w:rsid w:val="00945545"/>
    <w:pPr>
      <w:tabs>
        <w:tab w:val="left" w:pos="680"/>
      </w:tabs>
      <w:spacing w:before="60" w:after="60"/>
      <w:ind w:left="680" w:hanging="340"/>
    </w:pPr>
  </w:style>
  <w:style w:type="paragraph" w:styleId="List3">
    <w:name w:val="List 3"/>
    <w:basedOn w:val="BodyText"/>
    <w:rsid w:val="00945545"/>
    <w:pPr>
      <w:tabs>
        <w:tab w:val="left" w:pos="1021"/>
      </w:tabs>
      <w:spacing w:before="60" w:after="60"/>
      <w:ind w:left="1020" w:hanging="340"/>
    </w:pPr>
  </w:style>
  <w:style w:type="paragraph" w:styleId="List4">
    <w:name w:val="List 4"/>
    <w:basedOn w:val="BodyText"/>
    <w:rsid w:val="00945545"/>
    <w:pPr>
      <w:tabs>
        <w:tab w:val="left" w:pos="1361"/>
      </w:tabs>
      <w:spacing w:before="60" w:after="60"/>
      <w:ind w:left="1361" w:hanging="340"/>
    </w:pPr>
  </w:style>
  <w:style w:type="paragraph" w:styleId="List5">
    <w:name w:val="List 5"/>
    <w:basedOn w:val="BodyText"/>
    <w:rsid w:val="00945545"/>
    <w:pPr>
      <w:tabs>
        <w:tab w:val="left" w:pos="1701"/>
      </w:tabs>
      <w:spacing w:before="60" w:after="60"/>
      <w:ind w:left="1701" w:hanging="340"/>
    </w:pPr>
  </w:style>
  <w:style w:type="paragraph" w:styleId="ListBullet3">
    <w:name w:val="List Bullet 3"/>
    <w:basedOn w:val="List3"/>
    <w:rsid w:val="00945545"/>
    <w:pPr>
      <w:numPr>
        <w:numId w:val="14"/>
      </w:numPr>
      <w:tabs>
        <w:tab w:val="clear" w:pos="1021"/>
      </w:tabs>
      <w:ind w:left="1037" w:hanging="357"/>
    </w:pPr>
  </w:style>
  <w:style w:type="paragraph" w:styleId="ListBullet4">
    <w:name w:val="List Bullet 4"/>
    <w:basedOn w:val="List4"/>
    <w:rsid w:val="00945545"/>
    <w:pPr>
      <w:numPr>
        <w:numId w:val="3"/>
      </w:numPr>
      <w:tabs>
        <w:tab w:val="clear" w:pos="1361"/>
      </w:tabs>
    </w:pPr>
  </w:style>
  <w:style w:type="paragraph" w:styleId="ListBullet5">
    <w:name w:val="List Bullet 5"/>
    <w:basedOn w:val="List5"/>
    <w:rsid w:val="00945545"/>
    <w:pPr>
      <w:numPr>
        <w:numId w:val="4"/>
      </w:numPr>
    </w:pPr>
  </w:style>
  <w:style w:type="paragraph" w:styleId="ListContinue2">
    <w:name w:val="List Continue 2"/>
    <w:basedOn w:val="List2"/>
    <w:rsid w:val="00945545"/>
    <w:pPr>
      <w:ind w:firstLine="0"/>
    </w:pPr>
  </w:style>
  <w:style w:type="paragraph" w:styleId="ListContinue3">
    <w:name w:val="List Continue 3"/>
    <w:basedOn w:val="List3"/>
    <w:rsid w:val="00945545"/>
    <w:pPr>
      <w:ind w:left="1021" w:firstLine="0"/>
    </w:pPr>
  </w:style>
  <w:style w:type="paragraph" w:styleId="ListContinue4">
    <w:name w:val="List Continue 4"/>
    <w:basedOn w:val="List4"/>
    <w:rsid w:val="00945545"/>
    <w:pPr>
      <w:ind w:firstLine="0"/>
    </w:pPr>
  </w:style>
  <w:style w:type="paragraph" w:styleId="ListContinue5">
    <w:name w:val="List Continue 5"/>
    <w:basedOn w:val="List5"/>
    <w:rsid w:val="00945545"/>
    <w:pPr>
      <w:ind w:firstLine="0"/>
    </w:pPr>
  </w:style>
  <w:style w:type="paragraph" w:styleId="ListNumber3">
    <w:name w:val="List Number 3"/>
    <w:basedOn w:val="List3"/>
    <w:rsid w:val="00945545"/>
    <w:pPr>
      <w:numPr>
        <w:numId w:val="5"/>
      </w:numPr>
    </w:pPr>
  </w:style>
  <w:style w:type="paragraph" w:styleId="ListNumber4">
    <w:name w:val="List Number 4"/>
    <w:basedOn w:val="List4"/>
    <w:rsid w:val="00945545"/>
    <w:pPr>
      <w:numPr>
        <w:numId w:val="6"/>
      </w:numPr>
    </w:pPr>
  </w:style>
  <w:style w:type="paragraph" w:styleId="ListNumber5">
    <w:name w:val="List Number 5"/>
    <w:basedOn w:val="List5"/>
    <w:rsid w:val="00945545"/>
    <w:pPr>
      <w:numPr>
        <w:numId w:val="7"/>
      </w:numPr>
    </w:pPr>
  </w:style>
  <w:style w:type="paragraph" w:styleId="BlockText">
    <w:name w:val="Block Text"/>
    <w:basedOn w:val="Normal"/>
    <w:rsid w:val="00945545"/>
    <w:pPr>
      <w:spacing w:after="120"/>
      <w:ind w:left="1440" w:right="1440"/>
    </w:pPr>
  </w:style>
  <w:style w:type="character" w:customStyle="1" w:styleId="Subscript">
    <w:name w:val="Subscript"/>
    <w:basedOn w:val="DefaultParagraphFont"/>
    <w:rsid w:val="00945545"/>
    <w:rPr>
      <w:sz w:val="16"/>
      <w:vertAlign w:val="subscript"/>
    </w:rPr>
  </w:style>
  <w:style w:type="character" w:customStyle="1" w:styleId="Superscript">
    <w:name w:val="Superscript"/>
    <w:basedOn w:val="DefaultParagraphFont"/>
    <w:rsid w:val="00945545"/>
    <w:rPr>
      <w:sz w:val="16"/>
      <w:vertAlign w:val="superscript"/>
    </w:rPr>
  </w:style>
  <w:style w:type="character" w:customStyle="1" w:styleId="MenuOptions">
    <w:name w:val="Menu Options"/>
    <w:basedOn w:val="DefaultParagraphFont"/>
    <w:rsid w:val="00945545"/>
    <w:rPr>
      <w:rFonts w:ascii="Arial Narrow" w:hAnsi="Arial Narrow"/>
      <w:smallCaps/>
    </w:rPr>
  </w:style>
  <w:style w:type="character" w:customStyle="1" w:styleId="Buttons">
    <w:name w:val="Buttons"/>
    <w:basedOn w:val="DefaultParagraphFont"/>
    <w:rsid w:val="00945545"/>
    <w:rPr>
      <w:b/>
    </w:rPr>
  </w:style>
  <w:style w:type="character" w:customStyle="1" w:styleId="Underlined">
    <w:name w:val="Underlined"/>
    <w:basedOn w:val="DefaultParagraphFont"/>
    <w:rsid w:val="00945545"/>
    <w:rPr>
      <w:u w:val="single"/>
    </w:rPr>
  </w:style>
  <w:style w:type="paragraph" w:customStyle="1" w:styleId="TableBodyTextRight">
    <w:name w:val="Table Body Text Right"/>
    <w:basedOn w:val="TableBodyText"/>
    <w:rsid w:val="00945545"/>
    <w:pPr>
      <w:widowControl w:val="0"/>
      <w:autoSpaceDE w:val="0"/>
      <w:autoSpaceDN w:val="0"/>
      <w:adjustRightInd w:val="0"/>
      <w:jc w:val="right"/>
    </w:pPr>
    <w:rPr>
      <w:rFonts w:cs="Arial"/>
      <w:szCs w:val="18"/>
    </w:rPr>
  </w:style>
  <w:style w:type="paragraph" w:customStyle="1" w:styleId="CopyrightText">
    <w:name w:val="Copyright Text"/>
    <w:basedOn w:val="BodyText"/>
    <w:rsid w:val="00945545"/>
    <w:rPr>
      <w:sz w:val="18"/>
    </w:rPr>
  </w:style>
  <w:style w:type="paragraph" w:customStyle="1" w:styleId="BodySmallRight">
    <w:name w:val="Body Small Right"/>
    <w:basedOn w:val="BodyTextRight"/>
    <w:rsid w:val="00945545"/>
    <w:rPr>
      <w:sz w:val="18"/>
      <w:szCs w:val="18"/>
    </w:rPr>
  </w:style>
  <w:style w:type="paragraph" w:customStyle="1" w:styleId="MarginEdition">
    <w:name w:val="Margin Edition"/>
    <w:basedOn w:val="MarginNote"/>
    <w:rsid w:val="00945545"/>
    <w:pPr>
      <w:spacing w:before="0" w:after="0"/>
    </w:pPr>
    <w:rPr>
      <w:rFonts w:ascii="Times New Roman" w:hAnsi="Times New Roman"/>
      <w:color w:val="999999"/>
    </w:rPr>
  </w:style>
  <w:style w:type="paragraph" w:customStyle="1" w:styleId="Spacer">
    <w:name w:val="Spacer"/>
    <w:basedOn w:val="Normal"/>
    <w:rsid w:val="00945545"/>
    <w:rPr>
      <w:sz w:val="2"/>
      <w:szCs w:val="2"/>
    </w:rPr>
  </w:style>
  <w:style w:type="character" w:customStyle="1" w:styleId="Small">
    <w:name w:val="Small"/>
    <w:basedOn w:val="DefaultParagraphFont"/>
    <w:rsid w:val="00945545"/>
    <w:rPr>
      <w:sz w:val="16"/>
    </w:rPr>
  </w:style>
  <w:style w:type="paragraph" w:customStyle="1" w:styleId="WideTable">
    <w:name w:val="Wide Table"/>
    <w:basedOn w:val="Normal"/>
    <w:rsid w:val="00945545"/>
    <w:pPr>
      <w:ind w:left="-1418"/>
    </w:pPr>
    <w:rPr>
      <w:sz w:val="2"/>
      <w:szCs w:val="2"/>
    </w:rPr>
  </w:style>
  <w:style w:type="character" w:styleId="PageNumber">
    <w:name w:val="page number"/>
    <w:basedOn w:val="DefaultParagraphFont"/>
    <w:rsid w:val="00945545"/>
  </w:style>
  <w:style w:type="paragraph" w:styleId="Quote">
    <w:name w:val="Quote"/>
    <w:basedOn w:val="Heading1"/>
    <w:link w:val="QuoteChar"/>
    <w:qFormat/>
    <w:rsid w:val="00945545"/>
    <w:rPr>
      <w:b w:val="0"/>
      <w:sz w:val="72"/>
      <w:szCs w:val="72"/>
      <w:lang w:val="en-NZ"/>
    </w:rPr>
  </w:style>
  <w:style w:type="character" w:customStyle="1" w:styleId="QuoteChar">
    <w:name w:val="Quote Char"/>
    <w:basedOn w:val="DefaultParagraphFont"/>
    <w:link w:val="Quote"/>
    <w:rsid w:val="009455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5545"/>
    <w:pPr>
      <w:pageBreakBefore/>
    </w:pPr>
  </w:style>
  <w:style w:type="paragraph" w:customStyle="1" w:styleId="Border">
    <w:name w:val="Border"/>
    <w:basedOn w:val="Normal"/>
    <w:qFormat/>
    <w:rsid w:val="009455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5545"/>
    <w:rPr>
      <w:b/>
      <w:bCs/>
      <w:i/>
      <w:iCs/>
      <w:color w:val="auto"/>
    </w:rPr>
  </w:style>
  <w:style w:type="paragraph" w:styleId="IntenseQuote">
    <w:name w:val="Intense Quote"/>
    <w:basedOn w:val="Normal"/>
    <w:next w:val="Normal"/>
    <w:link w:val="IntenseQuoteChar"/>
    <w:uiPriority w:val="30"/>
    <w:qFormat/>
    <w:rsid w:val="009455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55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5545"/>
    <w:rPr>
      <w:smallCaps/>
      <w:color w:val="auto"/>
      <w:u w:val="single"/>
    </w:rPr>
  </w:style>
  <w:style w:type="character" w:styleId="IntenseReference">
    <w:name w:val="Intense Reference"/>
    <w:basedOn w:val="DefaultParagraphFont"/>
    <w:uiPriority w:val="32"/>
    <w:qFormat/>
    <w:rsid w:val="00945545"/>
    <w:rPr>
      <w:b/>
      <w:bCs/>
      <w:smallCaps/>
      <w:color w:val="auto"/>
      <w:spacing w:val="5"/>
      <w:u w:val="single"/>
    </w:rPr>
  </w:style>
  <w:style w:type="paragraph" w:customStyle="1" w:styleId="2ColumnHeading">
    <w:name w:val="2Column Heading"/>
    <w:basedOn w:val="BodyText"/>
    <w:qFormat/>
    <w:rsid w:val="00945545"/>
    <w:pPr>
      <w:spacing w:after="60"/>
      <w:ind w:left="-2268"/>
    </w:pPr>
    <w:rPr>
      <w:b/>
    </w:rPr>
  </w:style>
  <w:style w:type="paragraph" w:customStyle="1" w:styleId="Heading1TOC">
    <w:name w:val="Heading1 TOC"/>
    <w:basedOn w:val="Normal"/>
    <w:qFormat/>
    <w:rsid w:val="00945545"/>
    <w:pPr>
      <w:spacing w:before="240" w:after="120"/>
    </w:pPr>
    <w:rPr>
      <w:rFonts w:ascii="Times New Roman" w:hAnsi="Times New Roman"/>
      <w:b/>
      <w:sz w:val="32"/>
    </w:rPr>
  </w:style>
  <w:style w:type="paragraph" w:customStyle="1" w:styleId="Heading2TOC">
    <w:name w:val="Heading2 TOC"/>
    <w:basedOn w:val="Normal"/>
    <w:qFormat/>
    <w:rsid w:val="00945545"/>
    <w:pPr>
      <w:spacing w:before="240" w:after="60"/>
    </w:pPr>
    <w:rPr>
      <w:rFonts w:ascii="Times New Roman" w:hAnsi="Times New Roman"/>
      <w:b/>
      <w:sz w:val="28"/>
    </w:rPr>
  </w:style>
  <w:style w:type="character" w:customStyle="1" w:styleId="Underline">
    <w:name w:val="Underline"/>
    <w:basedOn w:val="DefaultParagraphFont"/>
    <w:qFormat/>
    <w:rsid w:val="00945545"/>
    <w:rPr>
      <w:u w:val="single"/>
    </w:rPr>
  </w:style>
  <w:style w:type="character" w:customStyle="1" w:styleId="BoldandItalics">
    <w:name w:val="Bold and Italics"/>
    <w:qFormat/>
    <w:rsid w:val="00945545"/>
    <w:rPr>
      <w:b/>
      <w:i/>
      <w:u w:val="none"/>
    </w:rPr>
  </w:style>
  <w:style w:type="paragraph" w:styleId="BalloonText">
    <w:name w:val="Balloon Text"/>
    <w:basedOn w:val="Normal"/>
    <w:link w:val="BalloonTextChar"/>
    <w:rsid w:val="00945545"/>
    <w:rPr>
      <w:rFonts w:ascii="Tahoma" w:hAnsi="Tahoma" w:cs="Tahoma"/>
      <w:sz w:val="16"/>
      <w:szCs w:val="16"/>
    </w:rPr>
  </w:style>
  <w:style w:type="character" w:customStyle="1" w:styleId="BalloonTextChar">
    <w:name w:val="Balloon Text Char"/>
    <w:basedOn w:val="DefaultParagraphFont"/>
    <w:link w:val="BalloonText"/>
    <w:rsid w:val="009455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55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55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5545"/>
    <w:rPr>
      <w:b/>
      <w:color w:val="660033"/>
      <w:spacing w:val="0"/>
    </w:rPr>
  </w:style>
  <w:style w:type="paragraph" w:customStyle="1" w:styleId="Nameditemlist">
    <w:name w:val="Named item list"/>
    <w:basedOn w:val="BodyText"/>
    <w:qFormat/>
    <w:rsid w:val="00945545"/>
    <w:pPr>
      <w:tabs>
        <w:tab w:val="left" w:pos="2835"/>
      </w:tabs>
      <w:ind w:left="2835" w:hanging="2835"/>
    </w:pPr>
  </w:style>
  <w:style w:type="paragraph" w:customStyle="1" w:styleId="BodyTextnopadding">
    <w:name w:val="Body Text no padding"/>
    <w:basedOn w:val="BodyText"/>
    <w:qFormat/>
    <w:rsid w:val="00945545"/>
    <w:pPr>
      <w:spacing w:before="0" w:after="0"/>
    </w:pPr>
  </w:style>
  <w:style w:type="paragraph" w:customStyle="1" w:styleId="BodyTextBold">
    <w:name w:val="Body Text Bold"/>
    <w:basedOn w:val="BodyText"/>
    <w:qFormat/>
    <w:rsid w:val="00945545"/>
    <w:rPr>
      <w:b/>
    </w:rPr>
  </w:style>
  <w:style w:type="character" w:styleId="Hyperlink">
    <w:name w:val="Hyperlink"/>
    <w:basedOn w:val="DefaultParagraphFont"/>
    <w:uiPriority w:val="99"/>
    <w:unhideWhenUsed/>
    <w:rsid w:val="009841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2130</Words>
  <Characters>14187</Characters>
  <Application>Microsoft Office Word</Application>
  <DocSecurity>0</DocSecurity>
  <Lines>457</Lines>
  <Paragraphs>243</Paragraphs>
  <ScaleCrop>false</ScaleCrop>
  <Company>Author-it Software Corporation Ltd.</Company>
  <LinksUpToDate>false</LinksUpToDate>
  <CharactersWithSpaces>16074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MSL905002 Create or modify calibration procedures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2025-03-01T13:47:00Z</dcterms:created>
  <dcterms:modified xsi:type="dcterms:W3CDTF">2025-03-01T13:47:00Z</dcterms:modified>
</cp:coreProperties>
</file>