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3DC" w:rsidP="00F22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MSL905001 Perform non-standard calibrations</w:t>
      </w:r>
      <w:r>
        <w:fldChar w:fldCharType="end"/>
      </w:r>
    </w:p>
    <w:p w:rsidR="00F223DC" w:rsidP="00F223DC">
      <w:pPr>
        <w:pStyle w:val="Version"/>
        <w:sectPr w:rsidSect="00240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C2E" w:rsidP="00240C2E">
      <w:pPr>
        <w:pStyle w:val="SuperHeading"/>
      </w:pPr>
      <w:r w:rsidRPr="00240C2E">
        <w:t>MSL905001 Perform non-standard calibrations</w:t>
      </w:r>
    </w:p>
    <w:p w:rsidR="00000000" w:rsidRPr="00240C2E" w:rsidP="00240C2E">
      <w:pPr>
        <w:pStyle w:val="Heading1"/>
      </w:pPr>
      <w:bookmarkStart w:id="1" w:name="O_902731"/>
      <w:bookmarkEnd w:id="1"/>
      <w:r w:rsidRPr="00240C2E">
        <w:t>Modification History</w:t>
      </w:r>
    </w:p>
    <w:p w:rsidR="00000000" w:rsidRPr="00240C2E" w:rsidP="00F223DC">
      <w:pPr>
        <w:pStyle w:val="BodyText"/>
      </w:pPr>
      <w:r w:rsidRPr="00240C2E">
        <w:t>Release 1. Supersedes and is equivalent to MSL905001A Perform non-standard calibrations</w:t>
      </w:r>
    </w:p>
    <w:p w:rsidR="00000000" w:rsidRPr="00240C2E" w:rsidP="00240C2E">
      <w:pPr>
        <w:pStyle w:val="Heading1"/>
      </w:pPr>
      <w:bookmarkStart w:id="2" w:name="O_902739"/>
      <w:bookmarkEnd w:id="2"/>
      <w:r w:rsidRPr="00240C2E">
        <w:t>Application</w:t>
      </w:r>
    </w:p>
    <w:p w:rsidR="00000000" w:rsidRPr="00240C2E" w:rsidP="00F223DC">
      <w:pPr>
        <w:pStyle w:val="BodyText"/>
      </w:pPr>
      <w:r w:rsidRPr="00240C2E">
        <w:t xml:space="preserve">This unit of competency covers the ability to recognise non-conforming calibration work, research and select the most </w:t>
      </w:r>
      <w:r w:rsidRPr="00240C2E">
        <w:t>appropriate test method or calibration procedure for a given measurement request, and then conduct the calibration. It also covers the ability to modify and revise existing procedures or substitute alternative instruments and measurement standards, when ne</w:t>
      </w:r>
      <w:r w:rsidRPr="00240C2E">
        <w:t>cessary.</w:t>
      </w:r>
    </w:p>
    <w:p w:rsidR="00000000" w:rsidRPr="00240C2E" w:rsidP="00F223DC">
      <w:pPr>
        <w:pStyle w:val="BodyText"/>
      </w:pPr>
      <w:r w:rsidRPr="00240C2E">
        <w:t>This unit of competency is applicable to calibration technicians/specialists who carry out calibrations in first, second and third party laboratories, and laboratories where testing and/or calibration forms part of inspection or product certifica</w:t>
      </w:r>
      <w:r w:rsidRPr="00240C2E">
        <w:t xml:space="preserve">tion. They work with limited guidance and results of their work are checked by the laboratory manager, quality inspector or designated signatory. </w:t>
      </w:r>
    </w:p>
    <w:p w:rsidR="00000000" w:rsidRPr="00240C2E" w:rsidP="00F223DC">
      <w:pPr>
        <w:pStyle w:val="BodyText"/>
      </w:pPr>
      <w:r w:rsidRPr="00240C2E">
        <w:t>The unit requires personnel to use a wide variety of precision measuring equipment and standards and cope wi</w:t>
      </w:r>
      <w:r w:rsidRPr="00240C2E">
        <w:t>th deviations from the explicit procedural instructions detailed in standard procedures and work instructions. When deviations do occur, each case must be documented, technically justified, authorised and accepted by the client.</w:t>
      </w:r>
    </w:p>
    <w:p w:rsidR="00000000" w:rsidRPr="00240C2E" w:rsidP="00F223DC">
      <w:pPr>
        <w:pStyle w:val="BodyText"/>
      </w:pPr>
      <w:r w:rsidRPr="00240C2E">
        <w:t>While no specific licensin</w:t>
      </w:r>
      <w:r w:rsidRPr="00240C2E">
        <w:t>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240C2E" w:rsidP="00240C2E">
      <w:pPr>
        <w:pStyle w:val="Heading1"/>
      </w:pPr>
      <w:bookmarkStart w:id="3" w:name="O_902738"/>
      <w:bookmarkEnd w:id="3"/>
      <w:r w:rsidRPr="00240C2E">
        <w:t>Pre-re</w:t>
      </w:r>
      <w:r w:rsidRPr="00240C2E">
        <w:t>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MSL904001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 xml:space="preserve">Perform standard calibrations </w:t>
            </w:r>
          </w:p>
        </w:tc>
      </w:tr>
    </w:tbl>
    <w:p w:rsidR="00000000" w:rsidRPr="00240C2E" w:rsidP="00240C2E">
      <w:pPr>
        <w:pStyle w:val="BodyText"/>
      </w:pPr>
    </w:p>
    <w:p w:rsidR="00000000" w:rsidRPr="00240C2E" w:rsidP="00240C2E">
      <w:pPr>
        <w:pStyle w:val="AllowPageBreak"/>
      </w:pPr>
    </w:p>
    <w:p w:rsidR="00000000" w:rsidRPr="00240C2E" w:rsidP="00240C2E">
      <w:pPr>
        <w:pStyle w:val="Heading1"/>
      </w:pPr>
      <w:bookmarkStart w:id="4" w:name="O_902737"/>
      <w:bookmarkEnd w:id="4"/>
      <w:r w:rsidRPr="00240C2E">
        <w:t>Competency Field</w:t>
      </w:r>
    </w:p>
    <w:p w:rsidR="00000000" w:rsidRPr="00240C2E" w:rsidP="00F223DC">
      <w:pPr>
        <w:pStyle w:val="BodyText"/>
      </w:pPr>
      <w:r w:rsidRPr="00240C2E">
        <w:t>Calibration</w:t>
      </w:r>
    </w:p>
    <w:p w:rsidR="00000000" w:rsidRPr="00240C2E" w:rsidP="00240C2E">
      <w:pPr>
        <w:pStyle w:val="Heading1"/>
      </w:pPr>
      <w:bookmarkStart w:id="5" w:name="O_902736"/>
      <w:bookmarkEnd w:id="5"/>
      <w:r w:rsidRPr="00240C2E">
        <w:t>Unit Sector</w:t>
      </w:r>
    </w:p>
    <w:p w:rsidR="00000000" w:rsidRPr="00240C2E" w:rsidP="00240C2E">
      <w:pPr>
        <w:pStyle w:val="Heading1"/>
      </w:pPr>
      <w:bookmarkStart w:id="6" w:name="O_902735"/>
      <w:bookmarkEnd w:id="6"/>
      <w:r w:rsidRPr="00240C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Performance criteria describe the performance needed to demonstrate achievement of the element.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>Select the appropriate calibration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Identify non-conforming calibration tasks and requests and analyse their significance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Review the authorised procedure and establish whether it is appropriate for the test, as required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Research an alternative or adapt an existing procedure to satisfy the test specification requirements, if required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Confirm that available resour</w:t>
            </w:r>
            <w:r w:rsidRPr="00240C2E">
              <w:t>ces meet all the requirements of the calibration procedure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Obtain authorisation prior to substituting equipment, changing or deviating from the specified procedure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Document and validate any authorised changes or deviations in accordance with workplace procedures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>Prepare items for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Identify hazards and use the appropriate personal protective equipment (PPE), safety equipment and procedures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 xml:space="preserve">Assemble and set up reference standards and associated equipment prior to testing 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 xml:space="preserve">Verify performance of reference standards and measuring equipment prior to use and adjust or calibrate as necessary 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 xml:space="preserve">Identify and minimise potential sources of measurement error 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>Perform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Perform individual tests and document each step in the calibration procedure to ensure repeatability of measurement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 xml:space="preserve">Critically analyse readings to confirm they are the result of a valid measurement and record data as required </w:t>
            </w:r>
            <w:r w:rsidRPr="00240C2E">
              <w:t>(as-found or before adjustment)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Adjust device under test to bring readings within tolerance and record results (as-left or after adjustment</w:t>
            </w:r>
            <w:r w:rsidRPr="00240C2E">
              <w:t xml:space="preserve">) if required 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Analyse resulting test data to detect trends or inconsistencies that would significantly affect the accuracy or validity of test results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Seek appropriate advice when result interpretation is outside authorised scope of approval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>Document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 xml:space="preserve">Document compliance/non-compliance with requirements of test and/or specifications 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Estimate and document uncertainty of measurement in accordance with workplace procedures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Record the resu</w:t>
            </w:r>
            <w:r w:rsidRPr="00240C2E">
              <w:t>lts of each test/calibration accurately, unambiguously and objectively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Ensure confidentiality of workplace information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>Finalise calibration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Prepare and issue a final report for the job/item detailing testing carried out, statement of compliance and all other required information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 xml:space="preserve">Report any non-compliance and verify next course of action with supervisor 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Attach calibration labels, equipment stickers, quality control tags and tamper resistant seals as required in workplace procedures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Report all changes and deviations that may have a significant influence on the test</w:t>
            </w:r>
          </w:p>
        </w:tc>
      </w:tr>
      <w:tr w:rsidTr="00240C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Store test equipment/measurement standards and results in accordance with workplace procedures</w:t>
            </w:r>
          </w:p>
        </w:tc>
      </w:tr>
    </w:tbl>
    <w:p w:rsidR="00000000" w:rsidRPr="00240C2E" w:rsidP="00240C2E">
      <w:pPr>
        <w:pStyle w:val="BodyText"/>
      </w:pPr>
    </w:p>
    <w:p w:rsidR="00000000" w:rsidRPr="00240C2E" w:rsidP="00240C2E">
      <w:pPr>
        <w:pStyle w:val="AllowPageBreak"/>
      </w:pPr>
    </w:p>
    <w:p w:rsidR="00000000" w:rsidRPr="00240C2E" w:rsidP="00240C2E">
      <w:pPr>
        <w:pStyle w:val="Heading1"/>
      </w:pPr>
      <w:bookmarkStart w:id="7" w:name="O_902734"/>
      <w:bookmarkEnd w:id="7"/>
      <w:r w:rsidRPr="00240C2E">
        <w:t>Foundation Skills</w:t>
      </w:r>
    </w:p>
    <w:p w:rsidR="00000000" w:rsidRPr="00240C2E" w:rsidP="00F223DC">
      <w:pPr>
        <w:pStyle w:val="BodyText"/>
      </w:pPr>
      <w:r w:rsidRPr="00240C2E">
        <w:t>This section describes those language, literacy, numeracy and employment skills that are essential to performance.</w:t>
      </w:r>
    </w:p>
    <w:p w:rsidR="00000000" w:rsidRPr="00240C2E" w:rsidP="00F223DC">
      <w:pPr>
        <w:pStyle w:val="BodyText"/>
      </w:pPr>
      <w:r w:rsidRPr="00240C2E">
        <w:t>Foundati</w:t>
      </w:r>
      <w:r w:rsidRPr="00240C2E">
        <w:t>on skills essential to performance are explicit in the performance criteria of this unit of competency.</w:t>
      </w:r>
    </w:p>
    <w:p w:rsidR="00000000" w:rsidRPr="00240C2E" w:rsidP="00240C2E">
      <w:pPr>
        <w:pStyle w:val="Heading1"/>
      </w:pPr>
      <w:bookmarkStart w:id="8" w:name="O_902733"/>
      <w:bookmarkEnd w:id="8"/>
      <w:r w:rsidRPr="00240C2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t>This field allows for different work environments and conditions that may affect performance. Essential operating c</w:t>
            </w:r>
            <w:r w:rsidRPr="00240C2E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>Standards, codes, procedures and/or workplace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Standards, codes, procedures and/or workplace procedures include the current version of one or more of:</w:t>
            </w:r>
          </w:p>
          <w:p w:rsidR="00000000" w:rsidRPr="00240C2E" w:rsidP="00240C2E">
            <w:pPr>
              <w:pStyle w:val="ListBullet"/>
            </w:pPr>
            <w:r w:rsidRPr="00240C2E">
              <w:t>Australian and international standards and codes covering:</w:t>
            </w:r>
          </w:p>
          <w:p w:rsidR="00000000" w:rsidRPr="00240C2E" w:rsidP="00240C2E">
            <w:pPr>
              <w:pStyle w:val="ListBullet2"/>
            </w:pPr>
            <w:r w:rsidRPr="00240C2E">
              <w:t>general requirements for the competence of testing and calibration laboratories, laboratory</w:t>
            </w:r>
            <w:r w:rsidRPr="00240C2E">
              <w:t xml:space="preserve"> safety, quality and environmental management</w:t>
            </w:r>
          </w:p>
          <w:p w:rsidR="00000000" w:rsidRPr="00240C2E" w:rsidP="00240C2E">
            <w:pPr>
              <w:pStyle w:val="ListBullet2"/>
            </w:pPr>
            <w:r w:rsidRPr="00240C2E">
              <w:t>accuracy of measurement methods and results, expression of uncertainty (GUM), quantifying uncertainty in analytical measurement, quality assurance of measurement equipment</w:t>
            </w:r>
          </w:p>
          <w:p w:rsidR="00000000" w:rsidRPr="00240C2E" w:rsidP="00240C2E">
            <w:pPr>
              <w:pStyle w:val="ListBullet"/>
            </w:pPr>
            <w:r w:rsidRPr="00240C2E">
              <w:t>national work health and safety (WHS)</w:t>
            </w:r>
            <w:r w:rsidRPr="00240C2E">
              <w:t xml:space="preserve"> standards, codes of practice</w:t>
            </w:r>
          </w:p>
          <w:p w:rsidR="00000000" w:rsidRPr="00240C2E" w:rsidP="00240C2E">
            <w:pPr>
              <w:pStyle w:val="ListBullet"/>
            </w:pPr>
            <w:r w:rsidRPr="00240C2E">
              <w:t>registration/licensing and/or National Association of Testing Authorities (NATA) accreditation requirements</w:t>
            </w:r>
          </w:p>
          <w:p w:rsidR="00000000" w:rsidRPr="00240C2E" w:rsidP="00240C2E">
            <w:pPr>
              <w:pStyle w:val="ListBullet"/>
            </w:pPr>
            <w:r w:rsidRPr="00240C2E">
              <w:t>safety requirements for equipment, materials or products; material safety data sheets (MSDS); and incident and accident/injury reports</w:t>
            </w:r>
          </w:p>
          <w:p w:rsidR="00000000" w:rsidRPr="00240C2E" w:rsidP="00240C2E">
            <w:pPr>
              <w:pStyle w:val="ListBullet"/>
            </w:pPr>
            <w:r w:rsidRPr="00240C2E">
              <w:t>standard operating procedures (SOPs), recording and reporting procedures</w:t>
            </w:r>
          </w:p>
          <w:p w:rsidR="00000000" w:rsidRPr="00240C2E" w:rsidP="00240C2E">
            <w:pPr>
              <w:pStyle w:val="ListBullet"/>
            </w:pPr>
            <w:r w:rsidRPr="00240C2E">
              <w:t>quality manuals, equipment and operating/technic</w:t>
            </w:r>
            <w:r w:rsidRPr="00240C2E">
              <w:t>al manuals</w:t>
            </w:r>
          </w:p>
          <w:p w:rsidR="00000000" w:rsidRPr="00240C2E" w:rsidP="00240C2E">
            <w:pPr>
              <w:pStyle w:val="ListBullet"/>
            </w:pPr>
            <w:r w:rsidRPr="00240C2E">
              <w:t>test methods and calibration procedures (validated and authorised)</w:t>
            </w:r>
          </w:p>
          <w:p w:rsidR="00000000" w:rsidRPr="00240C2E" w:rsidP="00240C2E">
            <w:pPr>
              <w:pStyle w:val="ListBullet"/>
            </w:pPr>
            <w:r w:rsidRPr="00240C2E">
              <w:t xml:space="preserve">test methods and calibration procedures published by international, national or regional standards, reputable technical organisations, scientific texts or journals and equipment </w:t>
            </w:r>
            <w:r w:rsidRPr="00240C2E">
              <w:t>manufacturers</w:t>
            </w:r>
          </w:p>
          <w:p w:rsidR="00000000" w:rsidRPr="00240C2E" w:rsidP="00240C2E">
            <w:pPr>
              <w:pStyle w:val="ListBullet"/>
            </w:pPr>
            <w:r w:rsidRPr="00240C2E">
              <w:t>laboratory layout, work flows and schedules</w:t>
            </w:r>
          </w:p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 xml:space="preserve">Non-standard calibrations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Non-standard calibrations involve detecting and dealing with non-conforming work associated with the testing and/or calibrating of equipment, including but not limited t</w:t>
            </w:r>
            <w:r w:rsidRPr="00240C2E">
              <w:t>o:</w:t>
            </w:r>
          </w:p>
          <w:p w:rsidR="00000000" w:rsidRPr="00240C2E" w:rsidP="00240C2E">
            <w:pPr>
              <w:pStyle w:val="ListBullet"/>
            </w:pPr>
            <w:r w:rsidRPr="00240C2E">
              <w:t>common test equipment, such as anemometers, balances, barometers, callipers, environmental chambers, hygrometers, manometers, masses, micrometers, pressure equipment, spectrophotometers, tape measures, rules, temperature (digital) indicating systems, t</w:t>
            </w:r>
            <w:r w:rsidRPr="00240C2E">
              <w:t>hermometers, thermocouples, timing devices, vibration analysis equipment and weighing instruments</w:t>
            </w:r>
          </w:p>
          <w:p w:rsidR="00000000" w:rsidRPr="00240C2E" w:rsidP="00240C2E">
            <w:pPr>
              <w:pStyle w:val="ListBullet"/>
            </w:pPr>
            <w:r w:rsidRPr="00240C2E">
              <w:t>electrical reference standards, such as air-lines, analogue meters, attenuators, bridges-manual balance, capacitors, DC voltage references, digital instrument</w:t>
            </w:r>
            <w:r w:rsidRPr="00240C2E">
              <w:t>s (calibrators, DMMs, electronic transfer standards), inductors, instrument and ratio transformers, instrument transformer test sets, potentiometers, resistors, radio frequency (RF) power meters, RF thermistor mounts and thermal converters, shunts, time in</w:t>
            </w:r>
            <w:r w:rsidRPr="00240C2E">
              <w:t>terval and frequency standards, transfer standards AC-DC, voltage dividers, volt ratio boxes and watt-hour references</w:t>
            </w:r>
          </w:p>
          <w:p w:rsidR="00000000" w:rsidRPr="00240C2E" w:rsidP="00240C2E">
            <w:pPr>
              <w:pStyle w:val="ListBullet"/>
            </w:pPr>
            <w:r w:rsidRPr="00240C2E">
              <w:t>working standards, instruments and testing equipment, such as electromagnetic compatibility (EMC) test equipment, field strength meters, f</w:t>
            </w:r>
            <w:r w:rsidRPr="00240C2E">
              <w:t>lammability test equipment, gauges/test fingers/test pins, hipot testers, impact hammers, impulse testers, instrument calibrators, network analysers, signal generators and spectrum and harmonic analysers</w:t>
            </w:r>
          </w:p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 xml:space="preserve">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Hazards include, but are not limited to, one or more of:</w:t>
            </w:r>
          </w:p>
          <w:p w:rsidR="00000000" w:rsidRPr="00240C2E" w:rsidP="00240C2E">
            <w:pPr>
              <w:pStyle w:val="ListBullet"/>
            </w:pPr>
            <w:r w:rsidRPr="00240C2E">
              <w:t>electric shock</w:t>
            </w:r>
          </w:p>
          <w:p w:rsidR="00000000" w:rsidRPr="00240C2E" w:rsidP="00240C2E">
            <w:pPr>
              <w:pStyle w:val="ListBullet"/>
            </w:pPr>
            <w:r w:rsidRPr="00240C2E">
              <w:t>disturbance or interruption of services</w:t>
            </w:r>
          </w:p>
          <w:p w:rsidR="00000000" w:rsidRPr="00240C2E" w:rsidP="00240C2E">
            <w:pPr>
              <w:pStyle w:val="ListBullet"/>
            </w:pPr>
            <w:r w:rsidRPr="00240C2E">
              <w:t>manual handling of heavy equipment boxes</w:t>
            </w:r>
          </w:p>
          <w:p w:rsidR="00000000" w:rsidRPr="00240C2E" w:rsidP="00240C2E">
            <w:pPr>
              <w:pStyle w:val="ListBullet"/>
            </w:pPr>
            <w:r w:rsidRPr="00240C2E">
              <w:t>sources of electromagnetic radiation (lasers and RF generators/transmitters)</w:t>
            </w:r>
          </w:p>
          <w:p w:rsidR="00000000" w:rsidRPr="00240C2E" w:rsidP="00240C2E">
            <w:pPr>
              <w:pStyle w:val="ListBullet"/>
            </w:pPr>
            <w:r w:rsidRPr="00240C2E">
              <w:t>fluids under pressure</w:t>
            </w:r>
          </w:p>
          <w:p w:rsidR="00000000" w:rsidRPr="00240C2E" w:rsidP="00240C2E">
            <w:pPr>
              <w:pStyle w:val="ListBullet"/>
            </w:pPr>
            <w:r w:rsidRPr="00240C2E">
              <w:t>hea</w:t>
            </w:r>
            <w:r w:rsidRPr="00240C2E">
              <w:t>t sources, such as ovens</w:t>
            </w:r>
          </w:p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 xml:space="preserve">Safety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Safety procedures include, but are not limited to, one or more of:</w:t>
            </w:r>
          </w:p>
          <w:p w:rsidR="00000000" w:rsidRPr="00240C2E" w:rsidP="00240C2E">
            <w:pPr>
              <w:pStyle w:val="ListBullet"/>
            </w:pPr>
            <w:r w:rsidRPr="00240C2E">
              <w:t>ensuring access to service shut-off points</w:t>
            </w:r>
          </w:p>
          <w:p w:rsidR="00000000" w:rsidRPr="00240C2E" w:rsidP="00240C2E">
            <w:pPr>
              <w:pStyle w:val="ListBullet"/>
            </w:pPr>
            <w:r w:rsidRPr="00240C2E">
              <w:t>use of PPE, such as hearing protection, gloves, safety glasses and coveralls</w:t>
            </w:r>
          </w:p>
          <w:p w:rsidR="00000000" w:rsidRPr="00240C2E" w:rsidP="00240C2E">
            <w:pPr>
              <w:pStyle w:val="ListBullet"/>
            </w:pPr>
            <w:r w:rsidRPr="00240C2E">
              <w:t>handling and storing hazardous materials and equipment in accordance with labels, MSDS, manufacturer</w:t>
            </w:r>
            <w:r>
              <w:t>’</w:t>
            </w:r>
            <w:r w:rsidRPr="00240C2E">
              <w:t>s instructions and workplace procedures and regulations</w:t>
            </w:r>
          </w:p>
          <w:p w:rsidR="00000000" w:rsidRPr="00240C2E" w:rsidP="00240C2E">
            <w:pPr>
              <w:pStyle w:val="ListBullet"/>
            </w:pPr>
            <w:r w:rsidRPr="00240C2E">
              <w:t>regular cleaning of equipment and work areas</w:t>
            </w:r>
          </w:p>
          <w:p w:rsidR="00000000" w:rsidP="00240C2E">
            <w:pPr>
              <w:pStyle w:val="BodyText"/>
              <w:rPr>
                <w:lang w:val="en-NZ"/>
              </w:rPr>
            </w:pPr>
          </w:p>
        </w:tc>
      </w:tr>
      <w:tr w:rsidTr="00F223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C2E">
            <w:pPr>
              <w:pStyle w:val="BodyText"/>
              <w:rPr>
                <w:lang w:val="en-NZ"/>
              </w:rPr>
            </w:pPr>
            <w:r w:rsidRPr="00240C2E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C2E" w:rsidP="00240C2E">
            <w:pPr>
              <w:pStyle w:val="BodyText"/>
            </w:pPr>
            <w:r w:rsidRPr="00240C2E">
              <w:t>WHS a</w:t>
            </w:r>
            <w:r w:rsidRPr="00240C2E">
              <w:t xml:space="preserve">nd environmental management requirements include: </w:t>
            </w:r>
          </w:p>
          <w:p w:rsidR="00000000" w:rsidRPr="00240C2E" w:rsidP="00240C2E">
            <w:pPr>
              <w:pStyle w:val="BodyText"/>
            </w:pPr>
            <w:r w:rsidRPr="00240C2E">
              <w:rPr>
                <w:rStyle w:val="Symbols"/>
              </w:rPr>
              <w:t></w:t>
            </w:r>
            <w:r w:rsidRPr="00240C2E">
              <w:rPr>
                <w:rStyle w:val="Symbols"/>
              </w:rPr>
              <w:tab/>
            </w:r>
            <w:r w:rsidRPr="00240C2E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240C2E" w:rsidP="00240C2E">
            <w:pPr>
              <w:pStyle w:val="BodyText"/>
            </w:pPr>
            <w:r w:rsidRPr="00240C2E">
              <w:rPr>
                <w:rStyle w:val="Symbols"/>
              </w:rPr>
              <w:t></w:t>
            </w:r>
            <w:r w:rsidRPr="00240C2E">
              <w:rPr>
                <w:rStyle w:val="Symbols"/>
              </w:rPr>
              <w:tab/>
            </w:r>
            <w:r w:rsidRPr="00240C2E">
              <w:t>applying standard precautions relating to the potentially hazardous nature of samples</w:t>
            </w:r>
          </w:p>
          <w:p w:rsidR="00000000" w:rsidRPr="00240C2E" w:rsidP="00240C2E">
            <w:pPr>
              <w:pStyle w:val="ListBullet"/>
            </w:pPr>
            <w:r w:rsidRPr="00240C2E">
              <w:t>accessing and applying current industry understanding of infection control issued by the National Health and Medical Research Council (NHMRC) and State and Territory Dep</w:t>
            </w:r>
            <w:r w:rsidRPr="00240C2E">
              <w:t>artments of Health, where relevant</w:t>
            </w:r>
          </w:p>
        </w:tc>
      </w:tr>
    </w:tbl>
    <w:p w:rsidR="00000000" w:rsidRPr="00240C2E" w:rsidP="00240C2E">
      <w:pPr>
        <w:pStyle w:val="BodyText"/>
      </w:pPr>
    </w:p>
    <w:p w:rsidR="00000000" w:rsidRPr="00240C2E" w:rsidP="00240C2E">
      <w:pPr>
        <w:pStyle w:val="AllowPageBreak"/>
      </w:pPr>
    </w:p>
    <w:p w:rsidR="00000000" w:rsidRPr="00240C2E" w:rsidP="00240C2E">
      <w:pPr>
        <w:pStyle w:val="Heading1"/>
      </w:pPr>
      <w:bookmarkStart w:id="9" w:name="O_902732"/>
      <w:bookmarkEnd w:id="9"/>
      <w:r w:rsidRPr="00240C2E">
        <w:t>Unit Mapping Information</w:t>
      </w:r>
    </w:p>
    <w:p w:rsidR="00000000" w:rsidRPr="00240C2E" w:rsidP="00F223DC">
      <w:pPr>
        <w:pStyle w:val="BodyText"/>
      </w:pPr>
      <w:r w:rsidRPr="00240C2E">
        <w:t>Release 1. Supersedes and is equivalent to MSL905001A Perform non-standard calibrations</w:t>
      </w:r>
    </w:p>
    <w:p w:rsidR="00000000" w:rsidRPr="00240C2E" w:rsidP="00240C2E">
      <w:pPr>
        <w:pStyle w:val="Heading1"/>
      </w:pPr>
      <w:bookmarkStart w:id="10" w:name="O_902725"/>
      <w:bookmarkEnd w:id="10"/>
      <w:r w:rsidRPr="00240C2E">
        <w:t>Links</w:t>
      </w:r>
    </w:p>
    <w:p w:rsidR="00000000" w:rsidRPr="00240C2E" w:rsidP="00F223DC">
      <w:pPr>
        <w:pStyle w:val="BodyText"/>
      </w:pPr>
      <w:r w:rsidRPr="00240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A4F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40C2E" w:rsidP="00F223DC">
      <w:pPr>
        <w:pStyle w:val="BodyText"/>
        <w:sectPr w:rsidSect="00240C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0C2E" w:rsidP="00240C2E">
      <w:pPr>
        <w:pStyle w:val="SuperHeading"/>
      </w:pPr>
      <w:r w:rsidRPr="00240C2E">
        <w:t>Assessment Requirements for MSL905001 Perform non-standard cali</w:t>
      </w:r>
      <w:r w:rsidRPr="00240C2E">
        <w:t>brations</w:t>
      </w:r>
    </w:p>
    <w:p w:rsidR="00000000" w:rsidRPr="00240C2E" w:rsidP="00240C2E">
      <w:pPr>
        <w:pStyle w:val="Heading1"/>
      </w:pPr>
      <w:bookmarkStart w:id="11" w:name="O_902727"/>
      <w:bookmarkEnd w:id="11"/>
      <w:r w:rsidRPr="00240C2E">
        <w:t>Modification History</w:t>
      </w:r>
    </w:p>
    <w:p w:rsidR="00000000" w:rsidRPr="00240C2E" w:rsidP="00F223DC">
      <w:pPr>
        <w:pStyle w:val="BodyText"/>
      </w:pPr>
      <w:r w:rsidRPr="00240C2E">
        <w:t>Release 1. Supersedes and is equivalent to MSL905001A Perform non-standard calibrations</w:t>
      </w:r>
    </w:p>
    <w:p w:rsidR="00000000" w:rsidRPr="00240C2E" w:rsidP="00240C2E">
      <w:pPr>
        <w:pStyle w:val="Heading1"/>
      </w:pPr>
      <w:bookmarkStart w:id="12" w:name="O_902730"/>
      <w:bookmarkEnd w:id="12"/>
      <w:r w:rsidRPr="00240C2E">
        <w:t>Performance Evidence</w:t>
      </w:r>
    </w:p>
    <w:p w:rsidR="00000000" w:rsidRPr="00240C2E" w:rsidP="00F223DC">
      <w:pPr>
        <w:pStyle w:val="BodyText"/>
      </w:pPr>
      <w:r w:rsidRPr="00240C2E">
        <w:t>Evidence of competence in this unit must satisfy all of the requirements of the elem</w:t>
      </w:r>
      <w:r w:rsidRPr="00240C2E">
        <w:t>ents and performance criteria, and include demonstration of:</w:t>
      </w:r>
    </w:p>
    <w:p w:rsidR="00000000" w:rsidRPr="00240C2E" w:rsidP="00240C2E">
      <w:pPr>
        <w:pStyle w:val="ListBullet"/>
      </w:pPr>
      <w:r w:rsidRPr="00240C2E">
        <w:t>recognising non-conforming calibration tasks and requests and assessing their significance</w:t>
      </w:r>
    </w:p>
    <w:p w:rsidR="00000000" w:rsidRPr="00240C2E" w:rsidP="00240C2E">
      <w:pPr>
        <w:pStyle w:val="ListBullet"/>
      </w:pPr>
      <w:r w:rsidRPr="00240C2E">
        <w:t>researching and selecting the most appropriate test method or calibration procedure for a given measure</w:t>
      </w:r>
      <w:r w:rsidRPr="00240C2E">
        <w:t>ment request and conducting the calibration</w:t>
      </w:r>
    </w:p>
    <w:p w:rsidR="00000000" w:rsidRPr="00240C2E" w:rsidP="00240C2E">
      <w:pPr>
        <w:pStyle w:val="ListBullet"/>
      </w:pPr>
      <w:r w:rsidRPr="00240C2E">
        <w:t>modifying and revising existing procedures or substituting alternative instruments and measurement standards</w:t>
      </w:r>
    </w:p>
    <w:p w:rsidR="00000000" w:rsidRPr="00240C2E" w:rsidP="00240C2E">
      <w:pPr>
        <w:pStyle w:val="ListBullet"/>
      </w:pPr>
      <w:r w:rsidRPr="00240C2E">
        <w:t>safely performing non-standard calibrations of test and measurement equipment in accordance with workpl</w:t>
      </w:r>
      <w:r w:rsidRPr="00240C2E">
        <w:t>ace procedures on at least two (2) occasions</w:t>
      </w:r>
    </w:p>
    <w:p w:rsidR="00000000" w:rsidRPr="00240C2E" w:rsidP="00240C2E">
      <w:pPr>
        <w:pStyle w:val="ListBullet"/>
      </w:pPr>
      <w:r w:rsidRPr="00240C2E">
        <w:t>quantifying the potential or actual impact of a wide range of test/environmental/equipment influences on data quality</w:t>
      </w:r>
    </w:p>
    <w:p w:rsidR="00000000" w:rsidRPr="00240C2E" w:rsidP="00240C2E">
      <w:pPr>
        <w:pStyle w:val="ListBullet"/>
      </w:pPr>
      <w:r w:rsidRPr="00240C2E">
        <w:t>maintaining close attention to all relevant safety procedures, regulatory requirements and the accuracy and precision of measurement to ensure the quality and integrity of test/calibration results</w:t>
      </w:r>
    </w:p>
    <w:p w:rsidR="00000000" w:rsidRPr="00240C2E" w:rsidP="00240C2E">
      <w:pPr>
        <w:pStyle w:val="ListBullet"/>
      </w:pPr>
      <w:r w:rsidRPr="00240C2E">
        <w:t>critically examining each calibration step to ensure repeat</w:t>
      </w:r>
      <w:r w:rsidRPr="00240C2E">
        <w:t>ability and validity of data</w:t>
      </w:r>
    </w:p>
    <w:p w:rsidR="00000000" w:rsidRPr="00240C2E" w:rsidP="00240C2E">
      <w:pPr>
        <w:pStyle w:val="ListBullet"/>
      </w:pPr>
      <w:r w:rsidRPr="00240C2E">
        <w:t>using calculation procedures to give results in appropriate accuracy, precision and units</w:t>
      </w:r>
    </w:p>
    <w:p w:rsidR="00000000" w:rsidRPr="00240C2E" w:rsidP="00240C2E">
      <w:pPr>
        <w:pStyle w:val="ListBullet"/>
      </w:pPr>
      <w:r w:rsidRPr="00240C2E">
        <w:t>using methods for statistical analysis (means, ranges and standard deviations) and estimation of uncertainty of measurement (can use soft</w:t>
      </w:r>
      <w:r w:rsidRPr="00240C2E">
        <w:t>ware)</w:t>
      </w:r>
    </w:p>
    <w:p w:rsidR="00000000" w:rsidRPr="00240C2E" w:rsidP="00240C2E">
      <w:pPr>
        <w:pStyle w:val="ListBullet"/>
      </w:pPr>
      <w:r w:rsidRPr="00240C2E">
        <w:t>preparing test/calibration documentation that is accurate and complies with requirements</w:t>
      </w:r>
    </w:p>
    <w:p w:rsidR="00000000" w:rsidRPr="00240C2E" w:rsidP="00240C2E">
      <w:pPr>
        <w:pStyle w:val="ListBullet"/>
      </w:pPr>
      <w:r w:rsidRPr="00240C2E">
        <w:t>explaining complex calibration procedures to clients and clarifying requirements and deviations</w:t>
      </w:r>
    </w:p>
    <w:p w:rsidR="00000000" w:rsidRPr="00240C2E" w:rsidP="00240C2E">
      <w:pPr>
        <w:pStyle w:val="ListBullet"/>
      </w:pPr>
      <w:r w:rsidRPr="00240C2E">
        <w:t>recognising and reporting opportunities for improvements.</w:t>
      </w:r>
    </w:p>
    <w:p w:rsidR="00000000" w:rsidRPr="00240C2E" w:rsidP="00240C2E">
      <w:pPr>
        <w:pStyle w:val="AllowPageBreak"/>
      </w:pPr>
    </w:p>
    <w:p w:rsidR="00000000" w:rsidRPr="00240C2E" w:rsidP="00240C2E">
      <w:pPr>
        <w:pStyle w:val="Heading1"/>
      </w:pPr>
      <w:bookmarkStart w:id="13" w:name="O_902729"/>
      <w:bookmarkEnd w:id="13"/>
      <w:r w:rsidRPr="00240C2E">
        <w:t>Knowledge Evidence</w:t>
      </w:r>
    </w:p>
    <w:p w:rsidR="00000000" w:rsidRPr="00240C2E" w:rsidP="00F223DC">
      <w:pPr>
        <w:pStyle w:val="BodyText"/>
      </w:pPr>
      <w:r w:rsidRPr="00240C2E">
        <w:t>Must provide evidence that demonstrates knowledge of:</w:t>
      </w:r>
    </w:p>
    <w:p w:rsidR="00000000" w:rsidRPr="00240C2E" w:rsidP="00240C2E">
      <w:pPr>
        <w:pStyle w:val="ListBullet"/>
      </w:pPr>
      <w:r w:rsidRPr="00240C2E">
        <w:t>requirements for the competence of testing and calibration laboratories (e.g. AS ISO/IEC 17025) as they affect job role and responsibilities</w:t>
      </w:r>
    </w:p>
    <w:p w:rsidR="00000000" w:rsidRPr="00240C2E" w:rsidP="00240C2E">
      <w:pPr>
        <w:pStyle w:val="ListBullet"/>
      </w:pPr>
      <w:r w:rsidRPr="00240C2E">
        <w:t>limits of authority and procedu</w:t>
      </w:r>
      <w:r w:rsidRPr="00240C2E">
        <w:t>res for changing or deviating from standard calibration methods and procedures</w:t>
      </w:r>
    </w:p>
    <w:p w:rsidR="00000000" w:rsidRPr="00240C2E" w:rsidP="00240C2E">
      <w:pPr>
        <w:pStyle w:val="ListBullet"/>
      </w:pPr>
      <w:r w:rsidRPr="00240C2E">
        <w:t>structure and terminology used in standard calibration methods, procedures, requests and instructions</w:t>
      </w:r>
    </w:p>
    <w:p w:rsidR="00000000" w:rsidRPr="00240C2E" w:rsidP="00240C2E">
      <w:pPr>
        <w:pStyle w:val="ListBullet"/>
      </w:pPr>
      <w:r w:rsidRPr="00240C2E">
        <w:t>current calibration methods, procedures and technology applications used in</w:t>
      </w:r>
      <w:r w:rsidRPr="00240C2E">
        <w:t xml:space="preserve"> the laboratory</w:t>
      </w:r>
    </w:p>
    <w:p w:rsidR="00000000" w:rsidRPr="00240C2E" w:rsidP="00240C2E">
      <w:pPr>
        <w:pStyle w:val="ListBullet"/>
      </w:pPr>
      <w:r w:rsidRPr="00240C2E">
        <w:t>implications of changing or deviating from standard calibration procedures</w:t>
      </w:r>
    </w:p>
    <w:p w:rsidR="00000000" w:rsidRPr="00240C2E" w:rsidP="00240C2E">
      <w:pPr>
        <w:pStyle w:val="ListBullet"/>
      </w:pPr>
      <w:r w:rsidRPr="00240C2E">
        <w:t>equipment specifications and limitations and the implications of equipment substitution</w:t>
      </w:r>
    </w:p>
    <w:p w:rsidR="00000000" w:rsidRPr="00240C2E" w:rsidP="00240C2E">
      <w:pPr>
        <w:pStyle w:val="ListBullet"/>
      </w:pPr>
      <w:r w:rsidRPr="00240C2E">
        <w:t xml:space="preserve">hierarchy of reference materials </w:t>
      </w:r>
    </w:p>
    <w:p w:rsidR="00000000" w:rsidRPr="00240C2E" w:rsidP="00240C2E">
      <w:pPr>
        <w:pStyle w:val="ListBullet"/>
      </w:pPr>
      <w:r w:rsidRPr="00240C2E">
        <w:t xml:space="preserve">handling, transport, storage and operation </w:t>
      </w:r>
      <w:r w:rsidRPr="00240C2E">
        <w:t>requirements of reference and working standards</w:t>
      </w:r>
    </w:p>
    <w:p w:rsidR="00000000" w:rsidRPr="00240C2E" w:rsidP="00240C2E">
      <w:pPr>
        <w:pStyle w:val="ListBullet"/>
      </w:pPr>
      <w:r w:rsidRPr="00240C2E">
        <w:t>equipment and testing method troubleshooting procedures</w:t>
      </w:r>
    </w:p>
    <w:p w:rsidR="00000000" w:rsidRPr="00240C2E" w:rsidP="00240C2E">
      <w:pPr>
        <w:pStyle w:val="ListBullet"/>
      </w:pPr>
      <w:r w:rsidRPr="00240C2E">
        <w:t>reporting procedures and legislative requirements</w:t>
      </w:r>
    </w:p>
    <w:p w:rsidR="00000000" w:rsidRPr="00240C2E" w:rsidP="00240C2E">
      <w:pPr>
        <w:pStyle w:val="ListBullet"/>
      </w:pPr>
      <w:r w:rsidRPr="00240C2E">
        <w:t>workplace and/or legal traceability requirements</w:t>
      </w:r>
    </w:p>
    <w:p w:rsidR="00000000" w:rsidRPr="00240C2E" w:rsidP="00240C2E">
      <w:pPr>
        <w:pStyle w:val="ListBullet"/>
      </w:pPr>
      <w:r w:rsidRPr="00240C2E">
        <w:t>work health and safety (WHS) and laboratory environmental control requirements.</w:t>
      </w:r>
    </w:p>
    <w:p w:rsidR="00000000" w:rsidRPr="00240C2E" w:rsidP="00240C2E">
      <w:pPr>
        <w:pStyle w:val="BodyText"/>
      </w:pPr>
    </w:p>
    <w:p w:rsidR="00000000" w:rsidRPr="00240C2E" w:rsidP="00F223DC">
      <w:pPr>
        <w:pStyle w:val="BodyText"/>
      </w:pPr>
      <w:r w:rsidRPr="00240C2E">
        <w:t>Additional knowledge requirements relevant to the workplace context that apply for different calibration fields must be assessed, including testing and calibration conducted i</w:t>
      </w:r>
      <w:r w:rsidRPr="00240C2E">
        <w:t>n the following fields:</w:t>
      </w:r>
    </w:p>
    <w:p w:rsidR="00000000" w:rsidRPr="00240C2E" w:rsidP="00240C2E">
      <w:pPr>
        <w:pStyle w:val="ListBullet"/>
      </w:pPr>
      <w:r w:rsidRPr="00240C2E">
        <w:t>acoustic and vibration measurement</w:t>
      </w:r>
    </w:p>
    <w:p w:rsidR="00000000" w:rsidRPr="00240C2E" w:rsidP="00240C2E">
      <w:pPr>
        <w:pStyle w:val="ListBullet"/>
      </w:pPr>
      <w:r w:rsidRPr="00240C2E">
        <w:t>chemical testing</w:t>
      </w:r>
    </w:p>
    <w:p w:rsidR="00000000" w:rsidRPr="00240C2E" w:rsidP="00240C2E">
      <w:pPr>
        <w:pStyle w:val="ListBullet"/>
      </w:pPr>
      <w:r w:rsidRPr="00240C2E">
        <w:t>construction materials testing</w:t>
      </w:r>
    </w:p>
    <w:p w:rsidR="00000000" w:rsidRPr="00240C2E" w:rsidP="00240C2E">
      <w:pPr>
        <w:pStyle w:val="ListBullet"/>
      </w:pPr>
      <w:r w:rsidRPr="00240C2E">
        <w:t>electrical testing</w:t>
      </w:r>
    </w:p>
    <w:p w:rsidR="00000000" w:rsidRPr="00240C2E" w:rsidP="00240C2E">
      <w:pPr>
        <w:pStyle w:val="ListBullet"/>
      </w:pPr>
      <w:r w:rsidRPr="00240C2E">
        <w:t>heat and temperature measurement</w:t>
      </w:r>
    </w:p>
    <w:p w:rsidR="00000000" w:rsidRPr="00240C2E" w:rsidP="00240C2E">
      <w:pPr>
        <w:pStyle w:val="ListBullet"/>
      </w:pPr>
      <w:r w:rsidRPr="00240C2E">
        <w:t>mechanical testing</w:t>
      </w:r>
    </w:p>
    <w:p w:rsidR="00000000" w:rsidRPr="00240C2E" w:rsidP="00240C2E">
      <w:pPr>
        <w:pStyle w:val="ListBullet"/>
      </w:pPr>
      <w:r w:rsidRPr="00240C2E">
        <w:t>metrology</w:t>
      </w:r>
    </w:p>
    <w:p w:rsidR="00000000" w:rsidRPr="00240C2E" w:rsidP="00240C2E">
      <w:pPr>
        <w:pStyle w:val="ListBullet"/>
      </w:pPr>
      <w:r w:rsidRPr="00240C2E">
        <w:t>non-destructive testing</w:t>
      </w:r>
    </w:p>
    <w:p w:rsidR="00000000" w:rsidRPr="00240C2E" w:rsidP="00240C2E">
      <w:pPr>
        <w:pStyle w:val="ListBullet"/>
      </w:pPr>
      <w:r w:rsidRPr="00240C2E">
        <w:t>optics and radiometry</w:t>
      </w:r>
    </w:p>
    <w:p w:rsidR="00000000" w:rsidRPr="00240C2E" w:rsidP="00240C2E">
      <w:pPr>
        <w:pStyle w:val="ListBullet"/>
      </w:pPr>
      <w:r w:rsidRPr="00240C2E">
        <w:t>pressure testing.</w:t>
      </w:r>
    </w:p>
    <w:p w:rsidR="00000000" w:rsidRPr="00240C2E" w:rsidP="00240C2E">
      <w:pPr>
        <w:pStyle w:val="AllowPageBreak"/>
      </w:pPr>
    </w:p>
    <w:p w:rsidR="00000000" w:rsidRPr="00240C2E" w:rsidP="00240C2E">
      <w:pPr>
        <w:pStyle w:val="Heading1"/>
      </w:pPr>
      <w:bookmarkStart w:id="14" w:name="O_902728"/>
      <w:bookmarkEnd w:id="14"/>
      <w:r w:rsidRPr="00240C2E">
        <w:t>Assessment Conditions</w:t>
      </w:r>
    </w:p>
    <w:p w:rsidR="00000000" w:rsidRPr="00240C2E" w:rsidP="00240C2E">
      <w:pPr>
        <w:pStyle w:val="ListBullet"/>
      </w:pPr>
      <w:r w:rsidRPr="00240C2E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240C2E" w:rsidP="00240C2E">
      <w:pPr>
        <w:pStyle w:val="ListBullet"/>
      </w:pPr>
      <w:r w:rsidRPr="00240C2E">
        <w:t>This unit of competency is to b</w:t>
      </w:r>
      <w:r w:rsidRPr="00240C2E">
        <w:t>e assessed in the workplace or a simulated workplace environment. A simulated workplace environment must reflect realistic operational workplace conditions that cover all aspects of workplace performance, including the environment, task skills, task manage</w:t>
      </w:r>
      <w:r w:rsidRPr="00240C2E">
        <w:t xml:space="preserve">ment skills, contingency management skills and job role environment skills.  </w:t>
      </w:r>
    </w:p>
    <w:p w:rsidR="00000000" w:rsidRPr="00240C2E" w:rsidP="00240C2E">
      <w:pPr>
        <w:pStyle w:val="ListBullet"/>
      </w:pPr>
      <w:r w:rsidRPr="00240C2E">
        <w:t>Foundation skills are integral to competent performance of the unit and should not be assessed separately.</w:t>
      </w:r>
    </w:p>
    <w:p w:rsidR="00000000" w:rsidRPr="00240C2E" w:rsidP="00240C2E">
      <w:pPr>
        <w:pStyle w:val="ListBullet"/>
      </w:pPr>
      <w:r w:rsidRPr="00240C2E">
        <w:t>Assessment processes and techniques must be appropriate to the language, literacy and numeracy requirements of the work being performed and the needs of the candidate.</w:t>
      </w:r>
    </w:p>
    <w:p w:rsidR="00000000" w:rsidRPr="00240C2E" w:rsidP="00240C2E">
      <w:pPr>
        <w:pStyle w:val="ListBullet"/>
      </w:pPr>
      <w:r w:rsidRPr="00240C2E">
        <w:t>Knowledge evidence may be collected concurrently with performance evidence or through an</w:t>
      </w:r>
      <w:r w:rsidRPr="00240C2E">
        <w:t xml:space="preserve"> independent process, such as workbooks, written assessments or interviews (provided a record is kept in each case).</w:t>
      </w:r>
    </w:p>
    <w:p w:rsidR="00000000" w:rsidRPr="00240C2E" w:rsidP="00240C2E">
      <w:pPr>
        <w:pStyle w:val="ListBullet"/>
      </w:pPr>
      <w:r w:rsidRPr="00240C2E">
        <w:t>This unit of competency may be assessed with:</w:t>
      </w:r>
    </w:p>
    <w:p w:rsidR="00000000" w:rsidRPr="00240C2E" w:rsidP="00240C2E">
      <w:pPr>
        <w:pStyle w:val="ListBullet2"/>
      </w:pPr>
      <w:r w:rsidRPr="00240C2E">
        <w:t>MSL925001 Analyse data and report results</w:t>
      </w:r>
    </w:p>
    <w:p w:rsidR="00000000" w:rsidRPr="00240C2E" w:rsidP="00240C2E">
      <w:pPr>
        <w:pStyle w:val="ListBullet2"/>
      </w:pPr>
      <w:r w:rsidRPr="00240C2E">
        <w:t>MSL925002 Analyse measurements and estimate uncert</w:t>
      </w:r>
      <w:r w:rsidRPr="00240C2E">
        <w:t xml:space="preserve">ainties </w:t>
      </w:r>
    </w:p>
    <w:p w:rsidR="00000000" w:rsidRPr="00240C2E" w:rsidP="00240C2E">
      <w:pPr>
        <w:pStyle w:val="ListBullet"/>
      </w:pPr>
      <w:r w:rsidRPr="00240C2E">
        <w:t>Holistic assessment methods include:</w:t>
      </w:r>
    </w:p>
    <w:p w:rsidR="00000000" w:rsidRPr="00240C2E" w:rsidP="00240C2E">
      <w:pPr>
        <w:pStyle w:val="ListBullet2"/>
      </w:pPr>
      <w:r w:rsidRPr="00240C2E">
        <w:t>review of non-standard calibration results, uncertainty calculations and documentation completed by the candidate</w:t>
      </w:r>
    </w:p>
    <w:p w:rsidR="00000000" w:rsidRPr="00240C2E" w:rsidP="00240C2E">
      <w:pPr>
        <w:pStyle w:val="ListBullet2"/>
      </w:pPr>
      <w:r w:rsidRPr="00240C2E">
        <w:t xml:space="preserve">feedback from supervisors and/or customers regarding quality of calibration services provided </w:t>
      </w:r>
      <w:r w:rsidRPr="00240C2E">
        <w:t>by the candidate</w:t>
      </w:r>
    </w:p>
    <w:p w:rsidR="00000000" w:rsidRPr="00240C2E" w:rsidP="00240C2E">
      <w:pPr>
        <w:pStyle w:val="ListBullet2"/>
      </w:pPr>
      <w:r w:rsidRPr="00240C2E">
        <w:t>observation of the candidate conducting non-standard calibrations</w:t>
      </w:r>
    </w:p>
    <w:p w:rsidR="00000000" w:rsidRPr="00240C2E" w:rsidP="00240C2E">
      <w:pPr>
        <w:pStyle w:val="ListBullet2"/>
      </w:pPr>
      <w:r w:rsidRPr="00240C2E">
        <w:t>oral or written questioning to check required knowledge of non-standard calibration procedures.</w:t>
      </w:r>
    </w:p>
    <w:p w:rsidR="00000000" w:rsidRPr="00240C2E" w:rsidP="00240C2E">
      <w:pPr>
        <w:pStyle w:val="ListBullet"/>
      </w:pPr>
      <w:r w:rsidRPr="00240C2E">
        <w:t>Access is required to instruments, equipment, materials, workplace documenta</w:t>
      </w:r>
      <w:r w:rsidRPr="00240C2E">
        <w:t>tion, procedures and specifications associated with this unit, including, but not limited to:</w:t>
      </w:r>
    </w:p>
    <w:p w:rsidR="00000000" w:rsidRPr="00240C2E" w:rsidP="00240C2E">
      <w:pPr>
        <w:pStyle w:val="ListBullet2"/>
      </w:pPr>
      <w:r w:rsidRPr="00240C2E">
        <w:t>specialised calibration/test equipment, reference standards and materials and laboratory facilities</w:t>
      </w:r>
    </w:p>
    <w:p w:rsidR="00000000" w:rsidRPr="00240C2E" w:rsidP="00240C2E">
      <w:pPr>
        <w:pStyle w:val="ListBullet2"/>
      </w:pPr>
      <w:r w:rsidRPr="00240C2E">
        <w:t>calibration methods, procedures and equipment specifications</w:t>
      </w:r>
    </w:p>
    <w:p w:rsidR="00000000" w:rsidRPr="00240C2E" w:rsidP="00240C2E">
      <w:pPr>
        <w:pStyle w:val="ListBullet2"/>
      </w:pPr>
      <w:r w:rsidRPr="00240C2E">
        <w:t>workplace quality manual and procedures.</w:t>
      </w:r>
    </w:p>
    <w:p w:rsidR="00000000" w:rsidRPr="00240C2E" w:rsidP="00240C2E">
      <w:pPr>
        <w:pStyle w:val="ListBullet"/>
      </w:pPr>
      <w:r w:rsidRPr="00240C2E">
        <w:t xml:space="preserve">Assessors must satisfy the assessor competency requirements that are in place at the time of the assessment as set by the VET regulator. </w:t>
      </w:r>
    </w:p>
    <w:p w:rsidR="00000000" w:rsidRPr="00240C2E" w:rsidP="00240C2E">
      <w:pPr>
        <w:pStyle w:val="ListBullet"/>
      </w:pPr>
      <w:r w:rsidRPr="00240C2E">
        <w:t>The assessor must demonstrate both technical competence and currency.</w:t>
      </w:r>
    </w:p>
    <w:p w:rsidR="00000000" w:rsidRPr="00240C2E" w:rsidP="00240C2E">
      <w:pPr>
        <w:pStyle w:val="ListBullet"/>
      </w:pPr>
      <w:r w:rsidRPr="00240C2E">
        <w:t>Techni</w:t>
      </w:r>
      <w:r w:rsidRPr="00240C2E">
        <w:t>cal competence can be demonstrated through:</w:t>
      </w:r>
    </w:p>
    <w:p w:rsidR="00000000" w:rsidRPr="00240C2E" w:rsidP="00240C2E">
      <w:pPr>
        <w:pStyle w:val="ListBullet2"/>
      </w:pPr>
      <w:r w:rsidRPr="00240C2E">
        <w:t>relevant VET or other qualification/Statement of Attainment AND/OR</w:t>
      </w:r>
    </w:p>
    <w:p w:rsidR="00000000" w:rsidRPr="00240C2E" w:rsidP="00240C2E">
      <w:pPr>
        <w:pStyle w:val="ListBullet2"/>
      </w:pPr>
      <w:r w:rsidRPr="00240C2E">
        <w:t>relevant workplace experience.</w:t>
      </w:r>
    </w:p>
    <w:p w:rsidR="00000000" w:rsidRPr="00240C2E" w:rsidP="00240C2E">
      <w:pPr>
        <w:pStyle w:val="ListBullet"/>
      </w:pPr>
      <w:r w:rsidRPr="00240C2E">
        <w:t>Currency can be demonstrated through:</w:t>
      </w:r>
    </w:p>
    <w:p w:rsidR="00000000" w:rsidRPr="00240C2E" w:rsidP="00240C2E">
      <w:pPr>
        <w:pStyle w:val="ListBullet2"/>
      </w:pPr>
      <w:r w:rsidRPr="00240C2E">
        <w:t>performing the competency being assessed as part of current employment OR</w:t>
      </w:r>
    </w:p>
    <w:p w:rsidR="00000000" w:rsidRPr="00240C2E" w:rsidP="00240C2E">
      <w:pPr>
        <w:pStyle w:val="ListBullet2"/>
      </w:pPr>
      <w:r w:rsidRPr="00240C2E">
        <w:t>having consulted with a laboratory about performing the competency being assessed within the last twelve months.</w:t>
      </w:r>
    </w:p>
    <w:p w:rsidR="00000000" w:rsidRPr="00240C2E" w:rsidP="00240C2E">
      <w:pPr>
        <w:pStyle w:val="AllowPageBreak"/>
      </w:pPr>
    </w:p>
    <w:p w:rsidR="00000000" w:rsidRPr="00240C2E" w:rsidP="00240C2E">
      <w:pPr>
        <w:pStyle w:val="Heading1"/>
      </w:pPr>
      <w:bookmarkStart w:id="15" w:name="O_902726"/>
      <w:bookmarkEnd w:id="15"/>
      <w:r w:rsidRPr="00240C2E">
        <w:t>Links</w:t>
      </w:r>
    </w:p>
    <w:p w:rsidR="00000000" w:rsidRPr="00240C2E" w:rsidP="00F223DC">
      <w:pPr>
        <w:pStyle w:val="BodyText"/>
      </w:pPr>
      <w:r w:rsidRPr="00240C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A4F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40C2E" w:rsidP="00240C2E"/>
    <w:sectPr w:rsidSect="00240C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 w:rsidRPr="00F223DC" w:rsidP="00F22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DC" w:rsidP="00240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223DC" w:rsidP="00240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23DC" w:rsidP="00240C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 w:rsidP="00240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23DC">
      <w:t>Approved</w:t>
    </w:r>
    <w:r w:rsidR="00F223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23D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23DC">
      <w:rPr>
        <w:noProof/>
      </w:rPr>
      <w:t>7</w:t>
    </w:r>
    <w:r>
      <w:rPr>
        <w:noProof/>
      </w:rPr>
      <w:fldChar w:fldCharType="end"/>
    </w:r>
  </w:p>
  <w:p w:rsidR="00240C2E" w:rsidP="00240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23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23DC">
      <w:t>Manufacturing Industry Skills Alliance</w:t>
    </w:r>
    <w:r w:rsidR="00F223DC">
      <w:fldChar w:fldCharType="end"/>
    </w:r>
  </w:p>
  <w:p w:rsidR="00240C2E" w:rsidP="00240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C2E" w:rsidRPr="00F223DC" w:rsidP="00F22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3DC" w:rsidRPr="002D2AF8" w:rsidP="00240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MSL905001 Perform non-standard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23DC" w:rsidP="00240C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2E" w:rsidRPr="002D2AF8" w:rsidP="00240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23DC">
      <w:t>MSL905001 Perform non-standard calibrations</w:t>
    </w:r>
    <w:r w:rsidR="00F223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23DC">
      <w:rPr>
        <w:noProof/>
      </w:rPr>
      <w:t>2 March 2025</w:t>
    </w:r>
    <w:r>
      <w:fldChar w:fldCharType="end"/>
    </w:r>
  </w:p>
  <w:p w:rsidR="00240C2E" w:rsidP="00240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8A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647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70D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C2E"/>
  </w:style>
  <w:style w:type="character" w:customStyle="1" w:styleId="Heading1Char">
    <w:name w:val="Heading 1 Char"/>
    <w:basedOn w:val="DefaultParagraphFont"/>
    <w:link w:val="Heading1"/>
    <w:rsid w:val="00240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C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C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C2E"/>
    <w:rPr>
      <w:b/>
      <w:spacing w:val="0"/>
    </w:rPr>
  </w:style>
  <w:style w:type="paragraph" w:styleId="ListBullet2">
    <w:name w:val="List Bullet 2"/>
    <w:basedOn w:val="List2"/>
    <w:rsid w:val="00240C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40C2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40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C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C2E"/>
    <w:rPr>
      <w:i/>
    </w:rPr>
  </w:style>
  <w:style w:type="paragraph" w:styleId="Caption">
    <w:name w:val="caption"/>
    <w:basedOn w:val="BodyText"/>
    <w:next w:val="Normal"/>
    <w:qFormat/>
    <w:rsid w:val="00240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C2E"/>
  </w:style>
  <w:style w:type="paragraph" w:styleId="TableofFigures">
    <w:name w:val="table of figures"/>
    <w:basedOn w:val="Normal"/>
    <w:next w:val="Normal"/>
    <w:semiHidden/>
    <w:rsid w:val="00240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C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C2E"/>
    <w:rPr>
      <w:rFonts w:ascii="Wingdings" w:hAnsi="Wingdings"/>
    </w:rPr>
  </w:style>
  <w:style w:type="paragraph" w:customStyle="1" w:styleId="TableHeading">
    <w:name w:val="Table Heading"/>
    <w:basedOn w:val="HeadingBase"/>
    <w:rsid w:val="00240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C2E"/>
    <w:rPr>
      <w:color w:val="0033CC"/>
      <w:u w:val="none"/>
    </w:rPr>
  </w:style>
  <w:style w:type="paragraph" w:customStyle="1" w:styleId="BodyTextRight">
    <w:name w:val="Body Text Right"/>
    <w:basedOn w:val="BodyText"/>
    <w:rsid w:val="00240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C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C2E"/>
    <w:rPr>
      <w:sz w:val="32"/>
    </w:rPr>
  </w:style>
  <w:style w:type="paragraph" w:customStyle="1" w:styleId="HeadingProcedure">
    <w:name w:val="Heading Procedure"/>
    <w:basedOn w:val="HeadingBase"/>
    <w:next w:val="Normal"/>
    <w:rsid w:val="00240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C2E"/>
    <w:pPr>
      <w:spacing w:before="60" w:after="60"/>
    </w:pPr>
  </w:style>
  <w:style w:type="paragraph" w:styleId="ListContinue">
    <w:name w:val="List Continue"/>
    <w:basedOn w:val="List"/>
    <w:rsid w:val="00240C2E"/>
    <w:pPr>
      <w:ind w:firstLine="0"/>
    </w:pPr>
  </w:style>
  <w:style w:type="paragraph" w:customStyle="1" w:styleId="ListNote">
    <w:name w:val="List Note"/>
    <w:basedOn w:val="List"/>
    <w:rsid w:val="00240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C2E"/>
    <w:rPr>
      <w:rFonts w:ascii="Courier New" w:hAnsi="Courier New"/>
    </w:rPr>
  </w:style>
  <w:style w:type="paragraph" w:customStyle="1" w:styleId="NoteBullet">
    <w:name w:val="Note Bullet"/>
    <w:basedOn w:val="Note"/>
    <w:rsid w:val="00240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C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C2E"/>
    <w:rPr>
      <w:b/>
      <w:smallCaps/>
    </w:rPr>
  </w:style>
  <w:style w:type="paragraph" w:customStyle="1" w:styleId="TableListNumber">
    <w:name w:val="Table List Number"/>
    <w:basedOn w:val="ListNumber"/>
    <w:rsid w:val="00240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C2E"/>
    <w:pPr>
      <w:numPr>
        <w:numId w:val="9"/>
      </w:numPr>
    </w:pPr>
  </w:style>
  <w:style w:type="paragraph" w:customStyle="1" w:styleId="ListAlpha2">
    <w:name w:val="List Alpha 2"/>
    <w:basedOn w:val="List2"/>
    <w:rsid w:val="00240C2E"/>
    <w:pPr>
      <w:numPr>
        <w:numId w:val="8"/>
      </w:numPr>
    </w:pPr>
  </w:style>
  <w:style w:type="paragraph" w:styleId="List2">
    <w:name w:val="List 2"/>
    <w:basedOn w:val="BodyText"/>
    <w:rsid w:val="00240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C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C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C2E"/>
    <w:pPr>
      <w:numPr>
        <w:numId w:val="4"/>
      </w:numPr>
    </w:pPr>
  </w:style>
  <w:style w:type="paragraph" w:styleId="ListContinue2">
    <w:name w:val="List Continue 2"/>
    <w:basedOn w:val="List2"/>
    <w:rsid w:val="00240C2E"/>
    <w:pPr>
      <w:ind w:firstLine="0"/>
    </w:pPr>
  </w:style>
  <w:style w:type="paragraph" w:styleId="ListContinue3">
    <w:name w:val="List Continue 3"/>
    <w:basedOn w:val="List3"/>
    <w:rsid w:val="00240C2E"/>
    <w:pPr>
      <w:ind w:left="1021" w:firstLine="0"/>
    </w:pPr>
  </w:style>
  <w:style w:type="paragraph" w:styleId="ListContinue4">
    <w:name w:val="List Continue 4"/>
    <w:basedOn w:val="List4"/>
    <w:rsid w:val="00240C2E"/>
    <w:pPr>
      <w:ind w:firstLine="0"/>
    </w:pPr>
  </w:style>
  <w:style w:type="paragraph" w:styleId="ListContinue5">
    <w:name w:val="List Continue 5"/>
    <w:basedOn w:val="List5"/>
    <w:rsid w:val="00240C2E"/>
    <w:pPr>
      <w:ind w:firstLine="0"/>
    </w:pPr>
  </w:style>
  <w:style w:type="paragraph" w:styleId="ListNumber3">
    <w:name w:val="List Number 3"/>
    <w:basedOn w:val="List3"/>
    <w:rsid w:val="00240C2E"/>
    <w:pPr>
      <w:numPr>
        <w:numId w:val="5"/>
      </w:numPr>
    </w:pPr>
  </w:style>
  <w:style w:type="paragraph" w:styleId="ListNumber4">
    <w:name w:val="List Number 4"/>
    <w:basedOn w:val="List4"/>
    <w:rsid w:val="00240C2E"/>
    <w:pPr>
      <w:numPr>
        <w:numId w:val="6"/>
      </w:numPr>
    </w:pPr>
  </w:style>
  <w:style w:type="paragraph" w:styleId="ListNumber5">
    <w:name w:val="List Number 5"/>
    <w:basedOn w:val="List5"/>
    <w:rsid w:val="00240C2E"/>
    <w:pPr>
      <w:numPr>
        <w:numId w:val="7"/>
      </w:numPr>
    </w:pPr>
  </w:style>
  <w:style w:type="paragraph" w:styleId="BlockText">
    <w:name w:val="Block Text"/>
    <w:basedOn w:val="Normal"/>
    <w:rsid w:val="00240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C2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40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C2E"/>
    <w:rPr>
      <w:b/>
    </w:rPr>
  </w:style>
  <w:style w:type="character" w:customStyle="1" w:styleId="Underlined">
    <w:name w:val="Underlined"/>
    <w:basedOn w:val="DefaultParagraphFont"/>
    <w:rsid w:val="00240C2E"/>
    <w:rPr>
      <w:u w:val="single"/>
    </w:rPr>
  </w:style>
  <w:style w:type="paragraph" w:customStyle="1" w:styleId="TableBodyTextRight">
    <w:name w:val="Table Body Text Right"/>
    <w:basedOn w:val="TableBodyText"/>
    <w:rsid w:val="00240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C2E"/>
    <w:rPr>
      <w:sz w:val="18"/>
    </w:rPr>
  </w:style>
  <w:style w:type="paragraph" w:customStyle="1" w:styleId="BodySmallRight">
    <w:name w:val="Body Small Right"/>
    <w:basedOn w:val="BodyTextRight"/>
    <w:rsid w:val="00240C2E"/>
    <w:rPr>
      <w:sz w:val="18"/>
      <w:szCs w:val="18"/>
    </w:rPr>
  </w:style>
  <w:style w:type="paragraph" w:customStyle="1" w:styleId="MarginEdition">
    <w:name w:val="Margin Edition"/>
    <w:basedOn w:val="MarginNote"/>
    <w:rsid w:val="00240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C2E"/>
    <w:rPr>
      <w:sz w:val="2"/>
      <w:szCs w:val="2"/>
    </w:rPr>
  </w:style>
  <w:style w:type="character" w:customStyle="1" w:styleId="Small">
    <w:name w:val="Small"/>
    <w:basedOn w:val="DefaultParagraphFont"/>
    <w:rsid w:val="00240C2E"/>
    <w:rPr>
      <w:sz w:val="16"/>
    </w:rPr>
  </w:style>
  <w:style w:type="paragraph" w:customStyle="1" w:styleId="WideTable">
    <w:name w:val="Wide Table"/>
    <w:basedOn w:val="Normal"/>
    <w:rsid w:val="00240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C2E"/>
  </w:style>
  <w:style w:type="paragraph" w:styleId="Quote">
    <w:name w:val="Quote"/>
    <w:basedOn w:val="Heading1"/>
    <w:link w:val="QuoteChar"/>
    <w:qFormat/>
    <w:rsid w:val="00240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C2E"/>
    <w:pPr>
      <w:pageBreakBefore/>
    </w:pPr>
  </w:style>
  <w:style w:type="paragraph" w:customStyle="1" w:styleId="Border">
    <w:name w:val="Border"/>
    <w:basedOn w:val="Normal"/>
    <w:qFormat/>
    <w:rsid w:val="00240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C2E"/>
    <w:rPr>
      <w:u w:val="single"/>
    </w:rPr>
  </w:style>
  <w:style w:type="character" w:customStyle="1" w:styleId="BoldandItalics">
    <w:name w:val="Bold and Italics"/>
    <w:qFormat/>
    <w:rsid w:val="00240C2E"/>
    <w:rPr>
      <w:b/>
      <w:i/>
      <w:u w:val="none"/>
    </w:rPr>
  </w:style>
  <w:style w:type="paragraph" w:styleId="BalloonText">
    <w:name w:val="Balloon Text"/>
    <w:basedOn w:val="Normal"/>
    <w:link w:val="BalloonTextChar"/>
    <w:rsid w:val="00240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C2E"/>
    <w:pPr>
      <w:spacing w:before="0" w:after="0"/>
    </w:pPr>
  </w:style>
  <w:style w:type="paragraph" w:customStyle="1" w:styleId="BodyTextBold">
    <w:name w:val="Body Text Bold"/>
    <w:basedOn w:val="BodyText"/>
    <w:qFormat/>
    <w:rsid w:val="00240C2E"/>
    <w:rPr>
      <w:b/>
    </w:rPr>
  </w:style>
  <w:style w:type="character" w:styleId="Hyperlink">
    <w:name w:val="Hyperlink"/>
    <w:basedOn w:val="DefaultParagraphFont"/>
    <w:uiPriority w:val="99"/>
    <w:unhideWhenUsed/>
    <w:rsid w:val="00F22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1989</Words>
  <Characters>13611</Characters>
  <Application>Microsoft Office Word</Application>
  <DocSecurity>0</DocSecurity>
  <Lines>412</Lines>
  <Paragraphs>222</Paragraphs>
  <ScaleCrop>false</ScaleCrop>
  <Company>Author-it Software Corporation Ltd.</Company>
  <LinksUpToDate>false</LinksUpToDate>
  <CharactersWithSpaces>15378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MSL905001 Perform non-standard calibrations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