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C74" w:rsidP="00711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MSL905001 Perform non-standard calibrations</w:t>
      </w:r>
      <w:r>
        <w:fldChar w:fldCharType="end"/>
      </w:r>
    </w:p>
    <w:p w:rsidR="00711C74" w:rsidP="00711C74">
      <w:pPr>
        <w:pStyle w:val="Version"/>
        <w:sectPr w:rsidSect="00C46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C2A" w:rsidP="00C46C2A">
      <w:pPr>
        <w:pStyle w:val="SuperHeading"/>
      </w:pPr>
      <w:r w:rsidRPr="00C46C2A">
        <w:t>Assessment Requirements for MSL905001 Perform non-standard calibrations</w:t>
      </w:r>
    </w:p>
    <w:p w:rsidR="00000000" w:rsidRPr="00C46C2A" w:rsidP="00C46C2A">
      <w:pPr>
        <w:pStyle w:val="Heading1"/>
      </w:pPr>
      <w:bookmarkStart w:id="1" w:name="O_902727"/>
      <w:bookmarkEnd w:id="1"/>
      <w:r w:rsidRPr="00C46C2A">
        <w:t>Modification History</w:t>
      </w:r>
    </w:p>
    <w:p w:rsidR="00000000" w:rsidRPr="00C46C2A" w:rsidP="00C46C2A">
      <w:pPr>
        <w:pStyle w:val="BodyText"/>
      </w:pPr>
      <w:r w:rsidRPr="00C46C2A">
        <w:t>Release 1. Supersedes and is equivalent to MSL905001A Perform non-standard calibrations</w:t>
      </w:r>
    </w:p>
    <w:p w:rsidR="00000000" w:rsidRPr="00C46C2A" w:rsidP="00C46C2A">
      <w:pPr>
        <w:pStyle w:val="AllowPageBreak"/>
      </w:pPr>
    </w:p>
    <w:p w:rsidR="00000000" w:rsidRPr="00C46C2A" w:rsidP="00C46C2A">
      <w:pPr>
        <w:pStyle w:val="Heading1"/>
      </w:pPr>
      <w:bookmarkStart w:id="2" w:name="O_902730"/>
      <w:bookmarkEnd w:id="2"/>
      <w:r w:rsidRPr="00C46C2A">
        <w:t>Performance Evidence</w:t>
      </w:r>
    </w:p>
    <w:p w:rsidR="00000000" w:rsidRPr="00C46C2A" w:rsidP="00C46C2A">
      <w:pPr>
        <w:pStyle w:val="BodyText"/>
      </w:pPr>
      <w:r w:rsidRPr="00C46C2A">
        <w:t>Evidence of competence in this unit must satisfy all of the requirements of the elements and performance criteria, and include demonstration of:</w:t>
      </w:r>
    </w:p>
    <w:p w:rsidR="00000000" w:rsidRPr="00C46C2A" w:rsidP="00C46C2A">
      <w:pPr>
        <w:pStyle w:val="ListBullet"/>
      </w:pPr>
      <w:r w:rsidRPr="00C46C2A">
        <w:t>recognising non-conforming calibration tasks and requests and assessing their significance</w:t>
      </w:r>
    </w:p>
    <w:p w:rsidR="00000000" w:rsidRPr="00C46C2A" w:rsidP="00C46C2A">
      <w:pPr>
        <w:pStyle w:val="ListBullet"/>
      </w:pPr>
      <w:r w:rsidRPr="00C46C2A">
        <w:t>researching and sel</w:t>
      </w:r>
      <w:r w:rsidRPr="00C46C2A">
        <w:t>ecting the most appropriate test method or calibration procedure for a given measurement request and conducting the calibration</w:t>
      </w:r>
    </w:p>
    <w:p w:rsidR="00000000" w:rsidRPr="00C46C2A" w:rsidP="00C46C2A">
      <w:pPr>
        <w:pStyle w:val="ListBullet"/>
      </w:pPr>
      <w:r w:rsidRPr="00C46C2A">
        <w:t>modifying and revising existing procedures or substituting alternative instruments and measurement standards</w:t>
      </w:r>
    </w:p>
    <w:p w:rsidR="00000000" w:rsidRPr="00C46C2A" w:rsidP="00C46C2A">
      <w:pPr>
        <w:pStyle w:val="ListBullet"/>
      </w:pPr>
      <w:r w:rsidRPr="00C46C2A">
        <w:t>safely performing n</w:t>
      </w:r>
      <w:r w:rsidRPr="00C46C2A">
        <w:t>on-standard calibrations of test and measurement equipment in accordance with workplace procedures on at least two (2) occasions</w:t>
      </w:r>
    </w:p>
    <w:p w:rsidR="00000000" w:rsidRPr="00C46C2A" w:rsidP="00C46C2A">
      <w:pPr>
        <w:pStyle w:val="ListBullet"/>
      </w:pPr>
      <w:r w:rsidRPr="00C46C2A">
        <w:t>quantifying the potential or actual impact of a wide range of test/environmental/equipment influences on data quality</w:t>
      </w:r>
    </w:p>
    <w:p w:rsidR="00000000" w:rsidRPr="00C46C2A" w:rsidP="00C46C2A">
      <w:pPr>
        <w:pStyle w:val="ListBullet"/>
      </w:pPr>
      <w:r w:rsidRPr="00C46C2A">
        <w:t>maintaini</w:t>
      </w:r>
      <w:r w:rsidRPr="00C46C2A">
        <w:t>ng close attention to all relevant safety procedures, regulatory requirements and the accuracy and precision of measurement to ensure the quality and integrity of test/calibration results</w:t>
      </w:r>
    </w:p>
    <w:p w:rsidR="00000000" w:rsidRPr="00C46C2A" w:rsidP="00C46C2A">
      <w:pPr>
        <w:pStyle w:val="ListBullet"/>
      </w:pPr>
      <w:r w:rsidRPr="00C46C2A">
        <w:t>critically examining each calibration step to ensure repeatability a</w:t>
      </w:r>
      <w:r w:rsidRPr="00C46C2A">
        <w:t>nd validity of data</w:t>
      </w:r>
    </w:p>
    <w:p w:rsidR="00000000" w:rsidRPr="00C46C2A" w:rsidP="00C46C2A">
      <w:pPr>
        <w:pStyle w:val="ListBullet"/>
      </w:pPr>
      <w:r w:rsidRPr="00C46C2A">
        <w:t>using calculation procedures to give results in appropriate accuracy, precision and units</w:t>
      </w:r>
    </w:p>
    <w:p w:rsidR="00000000" w:rsidRPr="00C46C2A" w:rsidP="00C46C2A">
      <w:pPr>
        <w:pStyle w:val="ListBullet"/>
      </w:pPr>
      <w:r w:rsidRPr="00C46C2A">
        <w:t>using methods for statistical analysis (means, ranges and standard deviations) and estimation of uncertainty of measurement (can use software)</w:t>
      </w:r>
    </w:p>
    <w:p w:rsidR="00000000" w:rsidRPr="00C46C2A" w:rsidP="00C46C2A">
      <w:pPr>
        <w:pStyle w:val="ListBullet"/>
      </w:pPr>
      <w:r w:rsidRPr="00C46C2A">
        <w:t>pre</w:t>
      </w:r>
      <w:r w:rsidRPr="00C46C2A">
        <w:t>paring test/calibration documentation that is accurate and complies with requirements</w:t>
      </w:r>
    </w:p>
    <w:p w:rsidR="00000000" w:rsidRPr="00C46C2A" w:rsidP="00C46C2A">
      <w:pPr>
        <w:pStyle w:val="ListBullet"/>
      </w:pPr>
      <w:r w:rsidRPr="00C46C2A">
        <w:t>explaining complex calibration procedures to clients and clarifying requirements and deviations</w:t>
      </w:r>
    </w:p>
    <w:p w:rsidR="00000000" w:rsidRPr="00C46C2A" w:rsidP="00C46C2A">
      <w:pPr>
        <w:pStyle w:val="ListBullet"/>
      </w:pPr>
      <w:r w:rsidRPr="00C46C2A">
        <w:t>recognising and reporting opportunities for improvements.</w:t>
      </w:r>
    </w:p>
    <w:p w:rsidR="00000000" w:rsidRPr="00C46C2A" w:rsidP="00C46C2A">
      <w:pPr>
        <w:pStyle w:val="AllowPageBreak"/>
      </w:pPr>
    </w:p>
    <w:p w:rsidR="00000000" w:rsidRPr="00C46C2A" w:rsidP="00C46C2A">
      <w:pPr>
        <w:pStyle w:val="Heading1"/>
      </w:pPr>
      <w:bookmarkStart w:id="3" w:name="O_902729"/>
      <w:bookmarkEnd w:id="3"/>
      <w:r w:rsidRPr="00C46C2A">
        <w:t>Knowledge Evidence</w:t>
      </w:r>
    </w:p>
    <w:p w:rsidR="00000000" w:rsidRPr="00C46C2A" w:rsidP="00C46C2A">
      <w:pPr>
        <w:pStyle w:val="BodyText"/>
      </w:pPr>
      <w:r w:rsidRPr="00C46C2A">
        <w:t>Must provide evidence that demonstrates knowledge of:</w:t>
      </w:r>
    </w:p>
    <w:p w:rsidR="00000000" w:rsidRPr="00C46C2A" w:rsidP="00C46C2A">
      <w:pPr>
        <w:pStyle w:val="ListBullet"/>
      </w:pPr>
      <w:r w:rsidRPr="00C46C2A">
        <w:t>requirements for the competence of testing and calibration laboratories (e.g. AS ISO/IEC 17025) as they affect job role and responsibilities</w:t>
      </w:r>
    </w:p>
    <w:p w:rsidR="00000000" w:rsidRPr="00C46C2A" w:rsidP="00C46C2A">
      <w:pPr>
        <w:pStyle w:val="ListBullet"/>
      </w:pPr>
      <w:r w:rsidRPr="00C46C2A">
        <w:t>limits of authority and procedures for changing or deviating from standard calibration methods and procedures</w:t>
      </w:r>
    </w:p>
    <w:p w:rsidR="00000000" w:rsidRPr="00C46C2A" w:rsidP="00C46C2A">
      <w:pPr>
        <w:pStyle w:val="ListBullet"/>
      </w:pPr>
      <w:r w:rsidRPr="00C46C2A">
        <w:t>structure and terminology used in standard calibration methods, procedures, requests and instructions</w:t>
      </w:r>
    </w:p>
    <w:p w:rsidR="00000000" w:rsidRPr="00C46C2A" w:rsidP="00C46C2A">
      <w:pPr>
        <w:pStyle w:val="ListBullet"/>
      </w:pPr>
      <w:r w:rsidRPr="00C46C2A">
        <w:t xml:space="preserve">current calibration methods, procedures and </w:t>
      </w:r>
      <w:r w:rsidRPr="00C46C2A">
        <w:t>technology applications used in the laboratory</w:t>
      </w:r>
    </w:p>
    <w:p w:rsidR="00000000" w:rsidRPr="00C46C2A" w:rsidP="00C46C2A">
      <w:pPr>
        <w:pStyle w:val="ListBullet"/>
      </w:pPr>
      <w:r w:rsidRPr="00C46C2A">
        <w:t>implications of changing or deviating from standard calibration procedures</w:t>
      </w:r>
    </w:p>
    <w:p w:rsidR="00000000" w:rsidRPr="00C46C2A" w:rsidP="00C46C2A">
      <w:pPr>
        <w:pStyle w:val="ListBullet"/>
      </w:pPr>
      <w:r w:rsidRPr="00C46C2A">
        <w:t>equipment specifications and limitations and the implications of equipment substitution</w:t>
      </w:r>
    </w:p>
    <w:p w:rsidR="00000000" w:rsidRPr="00C46C2A" w:rsidP="00C46C2A">
      <w:pPr>
        <w:pStyle w:val="ListBullet"/>
      </w:pPr>
      <w:r w:rsidRPr="00C46C2A">
        <w:t xml:space="preserve">hierarchy of reference materials </w:t>
      </w:r>
    </w:p>
    <w:p w:rsidR="00000000" w:rsidRPr="00C46C2A" w:rsidP="00C46C2A">
      <w:pPr>
        <w:pStyle w:val="ListBullet"/>
      </w:pPr>
      <w:r w:rsidRPr="00C46C2A">
        <w:t>handling, tr</w:t>
      </w:r>
      <w:r w:rsidRPr="00C46C2A">
        <w:t>ansport, storage and operation requirements of reference and working standards</w:t>
      </w:r>
    </w:p>
    <w:p w:rsidR="00000000" w:rsidRPr="00C46C2A" w:rsidP="00C46C2A">
      <w:pPr>
        <w:pStyle w:val="ListBullet"/>
      </w:pPr>
      <w:r w:rsidRPr="00C46C2A">
        <w:t>equipment and testing method troubleshooting procedures</w:t>
      </w:r>
    </w:p>
    <w:p w:rsidR="00000000" w:rsidRPr="00C46C2A" w:rsidP="00C46C2A">
      <w:pPr>
        <w:pStyle w:val="ListBullet"/>
      </w:pPr>
      <w:r w:rsidRPr="00C46C2A">
        <w:t>reporting procedures and legislative requirements</w:t>
      </w:r>
    </w:p>
    <w:p w:rsidR="00000000" w:rsidRPr="00C46C2A" w:rsidP="00C46C2A">
      <w:pPr>
        <w:pStyle w:val="ListBullet"/>
      </w:pPr>
      <w:r w:rsidRPr="00C46C2A">
        <w:t>workplace and/or legal traceability requirements</w:t>
      </w:r>
    </w:p>
    <w:p w:rsidR="00000000" w:rsidRPr="00C46C2A" w:rsidP="00C46C2A">
      <w:pPr>
        <w:pStyle w:val="ListBullet"/>
      </w:pPr>
      <w:r w:rsidRPr="00C46C2A">
        <w:t>work health and safety</w:t>
      </w:r>
      <w:r w:rsidRPr="00C46C2A">
        <w:t xml:space="preserve"> (WHS) and laboratory environmental control requirements.</w:t>
      </w:r>
    </w:p>
    <w:p w:rsidR="00000000" w:rsidRPr="00C46C2A" w:rsidP="00C46C2A">
      <w:pPr>
        <w:pStyle w:val="BodyText"/>
      </w:pPr>
    </w:p>
    <w:p w:rsidR="00000000" w:rsidRPr="00C46C2A" w:rsidP="00C46C2A">
      <w:pPr>
        <w:pStyle w:val="BodyText"/>
      </w:pPr>
      <w:r w:rsidRPr="00C46C2A">
        <w:t>Additional knowledge requirements relevant to the workplace context that apply for different calibration fields must be assessed, including testing and calibration conducted in the following fields</w:t>
      </w:r>
      <w:r w:rsidRPr="00C46C2A">
        <w:t>:</w:t>
      </w:r>
    </w:p>
    <w:p w:rsidR="00000000" w:rsidRPr="00C46C2A" w:rsidP="00C46C2A">
      <w:pPr>
        <w:pStyle w:val="ListBullet"/>
      </w:pPr>
      <w:r w:rsidRPr="00C46C2A">
        <w:t>acoustic and vibration measurement</w:t>
      </w:r>
    </w:p>
    <w:p w:rsidR="00000000" w:rsidRPr="00C46C2A" w:rsidP="00C46C2A">
      <w:pPr>
        <w:pStyle w:val="ListBullet"/>
      </w:pPr>
      <w:r w:rsidRPr="00C46C2A">
        <w:t>chemical testing</w:t>
      </w:r>
    </w:p>
    <w:p w:rsidR="00000000" w:rsidRPr="00C46C2A" w:rsidP="00C46C2A">
      <w:pPr>
        <w:pStyle w:val="ListBullet"/>
      </w:pPr>
      <w:r w:rsidRPr="00C46C2A">
        <w:t>construction materials testing</w:t>
      </w:r>
    </w:p>
    <w:p w:rsidR="00000000" w:rsidRPr="00C46C2A" w:rsidP="00C46C2A">
      <w:pPr>
        <w:pStyle w:val="ListBullet"/>
      </w:pPr>
      <w:r w:rsidRPr="00C46C2A">
        <w:t>electrical testing</w:t>
      </w:r>
    </w:p>
    <w:p w:rsidR="00000000" w:rsidRPr="00C46C2A" w:rsidP="00C46C2A">
      <w:pPr>
        <w:pStyle w:val="ListBullet"/>
      </w:pPr>
      <w:r w:rsidRPr="00C46C2A">
        <w:t>heat and temperature measurement</w:t>
      </w:r>
    </w:p>
    <w:p w:rsidR="00000000" w:rsidRPr="00C46C2A" w:rsidP="00C46C2A">
      <w:pPr>
        <w:pStyle w:val="ListBullet"/>
      </w:pPr>
      <w:r w:rsidRPr="00C46C2A">
        <w:t>mechanical testing</w:t>
      </w:r>
    </w:p>
    <w:p w:rsidR="00000000" w:rsidRPr="00C46C2A" w:rsidP="00C46C2A">
      <w:pPr>
        <w:pStyle w:val="ListBullet"/>
      </w:pPr>
      <w:r w:rsidRPr="00C46C2A">
        <w:t>metrology</w:t>
      </w:r>
    </w:p>
    <w:p w:rsidR="00000000" w:rsidRPr="00C46C2A" w:rsidP="00C46C2A">
      <w:pPr>
        <w:pStyle w:val="ListBullet"/>
      </w:pPr>
      <w:r w:rsidRPr="00C46C2A">
        <w:t>non-destructive testing</w:t>
      </w:r>
    </w:p>
    <w:p w:rsidR="00000000" w:rsidRPr="00C46C2A" w:rsidP="00C46C2A">
      <w:pPr>
        <w:pStyle w:val="ListBullet"/>
      </w:pPr>
      <w:r w:rsidRPr="00C46C2A">
        <w:t>optics and radiometry</w:t>
      </w:r>
    </w:p>
    <w:p w:rsidR="00000000" w:rsidRPr="00C46C2A" w:rsidP="00C46C2A">
      <w:pPr>
        <w:pStyle w:val="ListBullet"/>
      </w:pPr>
      <w:r w:rsidRPr="00C46C2A">
        <w:t>pressure testing.</w:t>
      </w:r>
    </w:p>
    <w:p w:rsidR="00000000" w:rsidRPr="00C46C2A" w:rsidP="00C46C2A">
      <w:pPr>
        <w:pStyle w:val="AllowPageBreak"/>
      </w:pPr>
    </w:p>
    <w:p w:rsidR="00000000" w:rsidRPr="00C46C2A" w:rsidP="00C46C2A">
      <w:pPr>
        <w:pStyle w:val="Heading1"/>
      </w:pPr>
      <w:bookmarkStart w:id="4" w:name="O_902728"/>
      <w:bookmarkEnd w:id="4"/>
      <w:r w:rsidRPr="00C46C2A">
        <w:t>Assessment Conditions</w:t>
      </w:r>
    </w:p>
    <w:p w:rsidR="00000000" w:rsidRPr="00C46C2A" w:rsidP="00C46C2A">
      <w:pPr>
        <w:pStyle w:val="ListBullet"/>
      </w:pPr>
      <w:r w:rsidRPr="00C46C2A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C46C2A" w:rsidP="00C46C2A">
      <w:pPr>
        <w:pStyle w:val="ListBullet"/>
      </w:pPr>
      <w:r w:rsidRPr="00C46C2A">
        <w:t xml:space="preserve">This unit of competency is to be assessed in </w:t>
      </w:r>
      <w:r w:rsidRPr="00C46C2A">
        <w:t>the workplace or a simulated workplace environment. A simulated workplace environment must reflect realistic operational workplace conditions that cover all aspects of workplace performance, including the environment, task skills, task management skills, c</w:t>
      </w:r>
      <w:r w:rsidRPr="00C46C2A">
        <w:t xml:space="preserve">ontingency management skills and job role environment skills.  </w:t>
      </w:r>
    </w:p>
    <w:p w:rsidR="00000000" w:rsidRPr="00C46C2A" w:rsidP="00C46C2A">
      <w:pPr>
        <w:pStyle w:val="ListBullet"/>
      </w:pPr>
      <w:r w:rsidRPr="00C46C2A">
        <w:t>Foundation skills are integral to competent performance of the unit and should not be assessed separately.</w:t>
      </w:r>
    </w:p>
    <w:p w:rsidR="00000000" w:rsidRPr="00C46C2A" w:rsidP="00C46C2A">
      <w:pPr>
        <w:pStyle w:val="ListBullet"/>
      </w:pPr>
      <w:r w:rsidRPr="00C46C2A">
        <w:t>Assessment processes and techniques must be appropriate to the language, literacy and</w:t>
      </w:r>
      <w:r w:rsidRPr="00C46C2A">
        <w:t xml:space="preserve"> numeracy requirements of the work being performed and the needs of the candidate.</w:t>
      </w:r>
    </w:p>
    <w:p w:rsidR="00000000" w:rsidRPr="00C46C2A" w:rsidP="00C46C2A">
      <w:pPr>
        <w:pStyle w:val="ListBullet"/>
      </w:pPr>
      <w:r w:rsidRPr="00C46C2A">
        <w:t xml:space="preserve">Knowledge evidence may be collected concurrently with performance evidence or through an independent process, such as workbooks, written assessments or interviews (provided </w:t>
      </w:r>
      <w:r w:rsidRPr="00C46C2A">
        <w:t>a record is kept in each case).</w:t>
      </w:r>
    </w:p>
    <w:p w:rsidR="00000000" w:rsidRPr="00C46C2A" w:rsidP="00C46C2A">
      <w:pPr>
        <w:pStyle w:val="ListBullet"/>
      </w:pPr>
      <w:r w:rsidRPr="00C46C2A">
        <w:t>This unit of competency may be assessed with:</w:t>
      </w:r>
    </w:p>
    <w:p w:rsidR="00000000" w:rsidRPr="00C46C2A" w:rsidP="00C46C2A">
      <w:pPr>
        <w:pStyle w:val="ListBullet2"/>
      </w:pPr>
      <w:r w:rsidRPr="00C46C2A">
        <w:t>MSL925001 Analyse data and report results</w:t>
      </w:r>
    </w:p>
    <w:p w:rsidR="00000000" w:rsidRPr="00C46C2A" w:rsidP="00C46C2A">
      <w:pPr>
        <w:pStyle w:val="ListBullet2"/>
      </w:pPr>
      <w:r w:rsidRPr="00C46C2A">
        <w:t xml:space="preserve">MSL925002 Analyse measurements and estimate uncertainties </w:t>
      </w:r>
    </w:p>
    <w:p w:rsidR="00000000" w:rsidRPr="00C46C2A" w:rsidP="00C46C2A">
      <w:pPr>
        <w:pStyle w:val="ListBullet"/>
      </w:pPr>
      <w:r w:rsidRPr="00C46C2A">
        <w:t>Holistic assessment methods include:</w:t>
      </w:r>
    </w:p>
    <w:p w:rsidR="00000000" w:rsidRPr="00C46C2A" w:rsidP="00C46C2A">
      <w:pPr>
        <w:pStyle w:val="ListBullet2"/>
      </w:pPr>
      <w:r w:rsidRPr="00C46C2A">
        <w:t>review of non-standard calibration results, uncertainty calculations and documentation completed by the candidate</w:t>
      </w:r>
    </w:p>
    <w:p w:rsidR="00000000" w:rsidRPr="00C46C2A" w:rsidP="00C46C2A">
      <w:pPr>
        <w:pStyle w:val="ListBullet2"/>
      </w:pPr>
      <w:r w:rsidRPr="00C46C2A">
        <w:t>feedback from supervisors and/or customers regarding quality of calibration services provided by the candidate</w:t>
      </w:r>
    </w:p>
    <w:p w:rsidR="00000000" w:rsidRPr="00C46C2A" w:rsidP="00C46C2A">
      <w:pPr>
        <w:pStyle w:val="ListBullet2"/>
      </w:pPr>
      <w:r w:rsidRPr="00C46C2A">
        <w:t>observation of the candidate co</w:t>
      </w:r>
      <w:r w:rsidRPr="00C46C2A">
        <w:t>nducting non-standard calibrations</w:t>
      </w:r>
    </w:p>
    <w:p w:rsidR="00000000" w:rsidRPr="00C46C2A" w:rsidP="00C46C2A">
      <w:pPr>
        <w:pStyle w:val="ListBullet2"/>
      </w:pPr>
      <w:r w:rsidRPr="00C46C2A">
        <w:t>oral or written questioning to check required knowledge of non-standard calibration procedures.</w:t>
      </w:r>
    </w:p>
    <w:p w:rsidR="00000000" w:rsidRPr="00C46C2A" w:rsidP="00C46C2A">
      <w:pPr>
        <w:pStyle w:val="ListBullet"/>
      </w:pPr>
      <w:r w:rsidRPr="00C46C2A">
        <w:t>Access is required to instruments, equipment, materials, workplace documentation, procedures and specifications associated w</w:t>
      </w:r>
      <w:r w:rsidRPr="00C46C2A">
        <w:t>ith this unit, including, but not limited to:</w:t>
      </w:r>
    </w:p>
    <w:p w:rsidR="00000000" w:rsidRPr="00C46C2A" w:rsidP="00C46C2A">
      <w:pPr>
        <w:pStyle w:val="ListBullet2"/>
      </w:pPr>
      <w:r w:rsidRPr="00C46C2A">
        <w:t>specialised calibration/test equipment, reference standards and materials and laboratory facilities</w:t>
      </w:r>
    </w:p>
    <w:p w:rsidR="00000000" w:rsidRPr="00C46C2A" w:rsidP="00C46C2A">
      <w:pPr>
        <w:pStyle w:val="ListBullet2"/>
      </w:pPr>
      <w:r w:rsidRPr="00C46C2A">
        <w:t>calibration methods, procedures and equipment specifications</w:t>
      </w:r>
    </w:p>
    <w:p w:rsidR="00000000" w:rsidRPr="00C46C2A" w:rsidP="00C46C2A">
      <w:pPr>
        <w:pStyle w:val="ListBullet2"/>
      </w:pPr>
      <w:r w:rsidRPr="00C46C2A">
        <w:t>workplace quality manual and procedures.</w:t>
      </w:r>
    </w:p>
    <w:p w:rsidR="00000000" w:rsidRPr="00C46C2A" w:rsidP="00C46C2A">
      <w:pPr>
        <w:pStyle w:val="ListBullet"/>
      </w:pPr>
      <w:r w:rsidRPr="00C46C2A">
        <w:t>Assess</w:t>
      </w:r>
      <w:r w:rsidRPr="00C46C2A">
        <w:t xml:space="preserve">ors must satisfy the assessor competency requirements that are in place at the time of the assessment as set by the VET regulator. </w:t>
      </w:r>
    </w:p>
    <w:p w:rsidR="00000000" w:rsidRPr="00C46C2A" w:rsidP="00C46C2A">
      <w:pPr>
        <w:pStyle w:val="ListBullet"/>
      </w:pPr>
      <w:r w:rsidRPr="00C46C2A">
        <w:t>The assessor must demonstrate both technical competence and currency.</w:t>
      </w:r>
    </w:p>
    <w:p w:rsidR="00000000" w:rsidRPr="00C46C2A" w:rsidP="00C46C2A">
      <w:pPr>
        <w:pStyle w:val="ListBullet"/>
      </w:pPr>
      <w:r w:rsidRPr="00C46C2A">
        <w:t>Technical competence can be demonstrated through:</w:t>
      </w:r>
    </w:p>
    <w:p w:rsidR="00000000" w:rsidRPr="00C46C2A" w:rsidP="00C46C2A">
      <w:pPr>
        <w:pStyle w:val="ListBullet2"/>
      </w:pPr>
      <w:r w:rsidRPr="00C46C2A">
        <w:t>rel</w:t>
      </w:r>
      <w:r w:rsidRPr="00C46C2A">
        <w:t>evant VET or other qualification/Statement of Attainment AND/OR</w:t>
      </w:r>
    </w:p>
    <w:p w:rsidR="00000000" w:rsidRPr="00C46C2A" w:rsidP="00C46C2A">
      <w:pPr>
        <w:pStyle w:val="ListBullet2"/>
      </w:pPr>
      <w:r w:rsidRPr="00C46C2A">
        <w:t>relevant workplace experience.</w:t>
      </w:r>
    </w:p>
    <w:p w:rsidR="00000000" w:rsidRPr="00C46C2A" w:rsidP="00C46C2A">
      <w:pPr>
        <w:pStyle w:val="ListBullet"/>
      </w:pPr>
      <w:r w:rsidRPr="00C46C2A">
        <w:t>Currency can be demonstrated through:</w:t>
      </w:r>
    </w:p>
    <w:p w:rsidR="00000000" w:rsidRPr="00C46C2A" w:rsidP="00C46C2A">
      <w:pPr>
        <w:pStyle w:val="ListBullet2"/>
      </w:pPr>
      <w:r w:rsidRPr="00C46C2A">
        <w:t>performing the competency being assessed as part of current employment OR</w:t>
      </w:r>
    </w:p>
    <w:p w:rsidR="00000000" w:rsidRPr="00C46C2A" w:rsidP="00C46C2A">
      <w:pPr>
        <w:pStyle w:val="ListBullet2"/>
      </w:pPr>
      <w:r w:rsidRPr="00C46C2A">
        <w:t>having consulted with a laboratory about performing the competency being assessed within the last twelve months.</w:t>
      </w:r>
    </w:p>
    <w:p w:rsidR="00000000" w:rsidRPr="00C46C2A" w:rsidP="00C46C2A">
      <w:pPr>
        <w:pStyle w:val="AllowPageBreak"/>
      </w:pPr>
    </w:p>
    <w:p w:rsidR="00000000" w:rsidRPr="00C46C2A" w:rsidP="00C46C2A">
      <w:pPr>
        <w:pStyle w:val="Heading1"/>
      </w:pPr>
      <w:bookmarkStart w:id="5" w:name="O_902726"/>
      <w:bookmarkEnd w:id="5"/>
      <w:r w:rsidRPr="00C46C2A">
        <w:t>Links</w:t>
      </w:r>
    </w:p>
    <w:p w:rsidR="00000000" w:rsidRPr="00C46C2A" w:rsidP="00C46C2A">
      <w:pPr>
        <w:pStyle w:val="BodyText"/>
      </w:pPr>
      <w:r w:rsidRPr="00C46C2A">
        <w:t>MSA Training Package Implementation Guides - http://mskills.org.au/training-packages/info/</w:t>
      </w:r>
    </w:p>
    <w:p w:rsidR="00000000" w:rsidRPr="00C46C2A" w:rsidP="00C46C2A"/>
    <w:sectPr w:rsidSect="00C46C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2A" w:rsidRPr="00711C74" w:rsidP="00711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74" w:rsidP="00C46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C74" w:rsidP="00C46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11C74" w:rsidP="00C46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2A" w:rsidRPr="00711C74" w:rsidP="00711C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74" w:rsidRPr="002D2AF8" w:rsidP="00C46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MSL905001 Perform non-standard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711C74" w:rsidP="00C46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7C0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E48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81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C2A"/>
  </w:style>
  <w:style w:type="character" w:customStyle="1" w:styleId="Heading1Char">
    <w:name w:val="Heading 1 Char"/>
    <w:basedOn w:val="DefaultParagraphFont"/>
    <w:link w:val="Heading1"/>
    <w:rsid w:val="00C46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C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C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6C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C2A"/>
    <w:rPr>
      <w:b/>
      <w:spacing w:val="0"/>
    </w:rPr>
  </w:style>
  <w:style w:type="paragraph" w:customStyle="1" w:styleId="SuperTitle">
    <w:name w:val="SuperTitle"/>
    <w:basedOn w:val="Title"/>
    <w:rsid w:val="00C46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C2A"/>
    <w:rPr>
      <w:i/>
    </w:rPr>
  </w:style>
  <w:style w:type="paragraph" w:styleId="Caption">
    <w:name w:val="caption"/>
    <w:basedOn w:val="BodyText"/>
    <w:next w:val="Normal"/>
    <w:qFormat/>
    <w:rsid w:val="00C46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C2A"/>
  </w:style>
  <w:style w:type="paragraph" w:styleId="TableofFigures">
    <w:name w:val="table of figures"/>
    <w:basedOn w:val="Normal"/>
    <w:next w:val="Normal"/>
    <w:semiHidden/>
    <w:rsid w:val="00C46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C2A"/>
    <w:pPr>
      <w:numPr>
        <w:numId w:val="11"/>
      </w:numPr>
    </w:pPr>
  </w:style>
  <w:style w:type="character" w:customStyle="1" w:styleId="WingdingSymbols">
    <w:name w:val="Wingding Symbols"/>
    <w:rsid w:val="00C46C2A"/>
    <w:rPr>
      <w:rFonts w:ascii="Wingdings" w:hAnsi="Wingdings"/>
    </w:rPr>
  </w:style>
  <w:style w:type="paragraph" w:customStyle="1" w:styleId="TableHeading">
    <w:name w:val="Table Heading"/>
    <w:basedOn w:val="HeadingBase"/>
    <w:rsid w:val="00C46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C2A"/>
    <w:rPr>
      <w:color w:val="0033CC"/>
      <w:u w:val="none"/>
    </w:rPr>
  </w:style>
  <w:style w:type="paragraph" w:customStyle="1" w:styleId="BodyTextRight">
    <w:name w:val="Body Text Right"/>
    <w:basedOn w:val="BodyText"/>
    <w:rsid w:val="00C46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C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C2A"/>
    <w:rPr>
      <w:sz w:val="32"/>
    </w:rPr>
  </w:style>
  <w:style w:type="paragraph" w:customStyle="1" w:styleId="HeadingProcedure">
    <w:name w:val="Heading Procedure"/>
    <w:basedOn w:val="HeadingBase"/>
    <w:next w:val="Normal"/>
    <w:rsid w:val="00C46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C2A"/>
    <w:pPr>
      <w:spacing w:before="60" w:after="60"/>
    </w:pPr>
  </w:style>
  <w:style w:type="paragraph" w:styleId="ListContinue">
    <w:name w:val="List Continue"/>
    <w:basedOn w:val="List"/>
    <w:rsid w:val="00C46C2A"/>
    <w:pPr>
      <w:ind w:firstLine="0"/>
    </w:pPr>
  </w:style>
  <w:style w:type="paragraph" w:customStyle="1" w:styleId="ListNote">
    <w:name w:val="List Note"/>
    <w:basedOn w:val="List"/>
    <w:rsid w:val="00C46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C2A"/>
    <w:rPr>
      <w:rFonts w:ascii="Courier New" w:hAnsi="Courier New"/>
    </w:rPr>
  </w:style>
  <w:style w:type="paragraph" w:customStyle="1" w:styleId="NoteBullet">
    <w:name w:val="Note Bullet"/>
    <w:basedOn w:val="Note"/>
    <w:rsid w:val="00C46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C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6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C2A"/>
    <w:rPr>
      <w:b/>
      <w:smallCaps/>
    </w:rPr>
  </w:style>
  <w:style w:type="paragraph" w:customStyle="1" w:styleId="TableListNumber">
    <w:name w:val="Table List Number"/>
    <w:basedOn w:val="ListNumber"/>
    <w:rsid w:val="00C46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C2A"/>
    <w:pPr>
      <w:numPr>
        <w:numId w:val="9"/>
      </w:numPr>
    </w:pPr>
  </w:style>
  <w:style w:type="paragraph" w:customStyle="1" w:styleId="ListAlpha2">
    <w:name w:val="List Alpha 2"/>
    <w:basedOn w:val="List2"/>
    <w:rsid w:val="00C46C2A"/>
    <w:pPr>
      <w:numPr>
        <w:numId w:val="8"/>
      </w:numPr>
    </w:pPr>
  </w:style>
  <w:style w:type="paragraph" w:styleId="List2">
    <w:name w:val="List 2"/>
    <w:basedOn w:val="BodyText"/>
    <w:rsid w:val="00C46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C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C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C2A"/>
    <w:pPr>
      <w:numPr>
        <w:numId w:val="4"/>
      </w:numPr>
    </w:pPr>
  </w:style>
  <w:style w:type="paragraph" w:styleId="ListContinue2">
    <w:name w:val="List Continue 2"/>
    <w:basedOn w:val="List2"/>
    <w:rsid w:val="00C46C2A"/>
    <w:pPr>
      <w:ind w:firstLine="0"/>
    </w:pPr>
  </w:style>
  <w:style w:type="paragraph" w:styleId="ListContinue3">
    <w:name w:val="List Continue 3"/>
    <w:basedOn w:val="List3"/>
    <w:rsid w:val="00C46C2A"/>
    <w:pPr>
      <w:ind w:left="1021" w:firstLine="0"/>
    </w:pPr>
  </w:style>
  <w:style w:type="paragraph" w:styleId="ListContinue4">
    <w:name w:val="List Continue 4"/>
    <w:basedOn w:val="List4"/>
    <w:rsid w:val="00C46C2A"/>
    <w:pPr>
      <w:ind w:firstLine="0"/>
    </w:pPr>
  </w:style>
  <w:style w:type="paragraph" w:styleId="ListContinue5">
    <w:name w:val="List Continue 5"/>
    <w:basedOn w:val="List5"/>
    <w:rsid w:val="00C46C2A"/>
    <w:pPr>
      <w:ind w:firstLine="0"/>
    </w:pPr>
  </w:style>
  <w:style w:type="paragraph" w:styleId="ListNumber3">
    <w:name w:val="List Number 3"/>
    <w:basedOn w:val="List3"/>
    <w:rsid w:val="00C46C2A"/>
    <w:pPr>
      <w:numPr>
        <w:numId w:val="5"/>
      </w:numPr>
    </w:pPr>
  </w:style>
  <w:style w:type="paragraph" w:styleId="ListNumber4">
    <w:name w:val="List Number 4"/>
    <w:basedOn w:val="List4"/>
    <w:rsid w:val="00C46C2A"/>
    <w:pPr>
      <w:numPr>
        <w:numId w:val="6"/>
      </w:numPr>
    </w:pPr>
  </w:style>
  <w:style w:type="paragraph" w:styleId="ListNumber5">
    <w:name w:val="List Number 5"/>
    <w:basedOn w:val="List5"/>
    <w:rsid w:val="00C46C2A"/>
    <w:pPr>
      <w:numPr>
        <w:numId w:val="7"/>
      </w:numPr>
    </w:pPr>
  </w:style>
  <w:style w:type="paragraph" w:styleId="BlockText">
    <w:name w:val="Block Text"/>
    <w:basedOn w:val="Normal"/>
    <w:rsid w:val="00C46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C2A"/>
    <w:rPr>
      <w:sz w:val="16"/>
      <w:vertAlign w:val="superscript"/>
    </w:rPr>
  </w:style>
  <w:style w:type="character" w:customStyle="1" w:styleId="Symbols">
    <w:name w:val="Symbols"/>
    <w:basedOn w:val="DefaultParagraphFont"/>
    <w:rsid w:val="00C46C2A"/>
    <w:rPr>
      <w:rFonts w:ascii="Symbol" w:hAnsi="Symbol"/>
    </w:rPr>
  </w:style>
  <w:style w:type="character" w:customStyle="1" w:styleId="MenuOptions">
    <w:name w:val="Menu Options"/>
    <w:basedOn w:val="DefaultParagraphFont"/>
    <w:rsid w:val="00C46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C2A"/>
    <w:rPr>
      <w:b/>
    </w:rPr>
  </w:style>
  <w:style w:type="character" w:customStyle="1" w:styleId="Underlined">
    <w:name w:val="Underlined"/>
    <w:basedOn w:val="DefaultParagraphFont"/>
    <w:rsid w:val="00C46C2A"/>
    <w:rPr>
      <w:u w:val="single"/>
    </w:rPr>
  </w:style>
  <w:style w:type="paragraph" w:customStyle="1" w:styleId="TableBodyTextRight">
    <w:name w:val="Table Body Text Right"/>
    <w:basedOn w:val="TableBodyText"/>
    <w:rsid w:val="00C46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C2A"/>
    <w:rPr>
      <w:sz w:val="18"/>
    </w:rPr>
  </w:style>
  <w:style w:type="paragraph" w:customStyle="1" w:styleId="BodySmallRight">
    <w:name w:val="Body Small Right"/>
    <w:basedOn w:val="BodyTextRight"/>
    <w:rsid w:val="00C46C2A"/>
    <w:rPr>
      <w:sz w:val="18"/>
      <w:szCs w:val="18"/>
    </w:rPr>
  </w:style>
  <w:style w:type="paragraph" w:customStyle="1" w:styleId="MarginEdition">
    <w:name w:val="Margin Edition"/>
    <w:basedOn w:val="MarginNote"/>
    <w:rsid w:val="00C46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C2A"/>
    <w:rPr>
      <w:sz w:val="2"/>
      <w:szCs w:val="2"/>
    </w:rPr>
  </w:style>
  <w:style w:type="character" w:customStyle="1" w:styleId="Small">
    <w:name w:val="Small"/>
    <w:basedOn w:val="DefaultParagraphFont"/>
    <w:rsid w:val="00C46C2A"/>
    <w:rPr>
      <w:sz w:val="16"/>
    </w:rPr>
  </w:style>
  <w:style w:type="paragraph" w:customStyle="1" w:styleId="WideTable">
    <w:name w:val="Wide Table"/>
    <w:basedOn w:val="Normal"/>
    <w:rsid w:val="00C46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C2A"/>
  </w:style>
  <w:style w:type="paragraph" w:styleId="Quote">
    <w:name w:val="Quote"/>
    <w:basedOn w:val="Heading1"/>
    <w:link w:val="QuoteChar"/>
    <w:qFormat/>
    <w:rsid w:val="00C46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C2A"/>
    <w:pPr>
      <w:pageBreakBefore/>
    </w:pPr>
  </w:style>
  <w:style w:type="paragraph" w:customStyle="1" w:styleId="Border">
    <w:name w:val="Border"/>
    <w:basedOn w:val="Normal"/>
    <w:qFormat/>
    <w:rsid w:val="00C46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C2A"/>
    <w:rPr>
      <w:u w:val="single"/>
    </w:rPr>
  </w:style>
  <w:style w:type="character" w:customStyle="1" w:styleId="BoldandItalics">
    <w:name w:val="Bold and Italics"/>
    <w:qFormat/>
    <w:rsid w:val="00C46C2A"/>
    <w:rPr>
      <w:b/>
      <w:i/>
      <w:u w:val="none"/>
    </w:rPr>
  </w:style>
  <w:style w:type="paragraph" w:styleId="BalloonText">
    <w:name w:val="Balloon Text"/>
    <w:basedOn w:val="Normal"/>
    <w:link w:val="BalloonTextChar"/>
    <w:rsid w:val="00C46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C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C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5246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MSL905001 Perform non-standard calibrations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2016-03-01T06:27:00Z</dcterms:created>
  <dcterms:modified xsi:type="dcterms:W3CDTF">2016-03-01T06:27:00Z</dcterms:modified>
</cp:coreProperties>
</file>