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CC5" w:rsidP="003B3C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MSL904001 Perform standard calibrations</w:t>
      </w:r>
      <w:r>
        <w:fldChar w:fldCharType="end"/>
      </w:r>
    </w:p>
    <w:p w:rsidR="003B3CC5" w:rsidP="003B3CC5">
      <w:pPr>
        <w:pStyle w:val="Version"/>
        <w:sectPr w:rsidSect="002951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1F4" w:rsidP="002951F4">
      <w:pPr>
        <w:pStyle w:val="SuperHeading"/>
      </w:pPr>
      <w:r w:rsidRPr="002951F4">
        <w:t>Assessment Requirements for MSL904001 Perform standard calibrations</w:t>
      </w:r>
    </w:p>
    <w:p w:rsidR="00000000" w:rsidRPr="002951F4" w:rsidP="002951F4">
      <w:pPr>
        <w:pStyle w:val="Heading1"/>
      </w:pPr>
      <w:bookmarkStart w:id="1" w:name="O_902708"/>
      <w:bookmarkEnd w:id="1"/>
      <w:r w:rsidRPr="002951F4">
        <w:t>Modification History</w:t>
      </w:r>
    </w:p>
    <w:p w:rsidR="00000000" w:rsidRPr="002951F4" w:rsidP="003B3CC5">
      <w:pPr>
        <w:pStyle w:val="BodyText"/>
      </w:pPr>
      <w:r w:rsidRPr="002951F4">
        <w:t>Release 1. Supersedes and is equivalent to MSL904001A Perform standard calibrations</w:t>
      </w:r>
    </w:p>
    <w:p w:rsidR="00000000" w:rsidRPr="002951F4" w:rsidP="002951F4">
      <w:pPr>
        <w:pStyle w:val="Heading1"/>
      </w:pPr>
      <w:bookmarkStart w:id="2" w:name="O_902711"/>
      <w:bookmarkEnd w:id="2"/>
      <w:r w:rsidRPr="002951F4">
        <w:t>Performance Evidence</w:t>
      </w:r>
    </w:p>
    <w:p w:rsidR="00000000" w:rsidRPr="002951F4" w:rsidP="003B3CC5">
      <w:pPr>
        <w:pStyle w:val="BodyText"/>
      </w:pPr>
      <w:r w:rsidRPr="002951F4">
        <w:t>Evidence of competence in this unit must satisfy all of the requirements of the elements and performance criteria, and include demonstration of:</w:t>
      </w:r>
    </w:p>
    <w:p w:rsidR="00000000" w:rsidRPr="002951F4" w:rsidP="002951F4">
      <w:pPr>
        <w:pStyle w:val="ListBullet"/>
      </w:pPr>
      <w:r w:rsidRPr="002951F4">
        <w:t>selecting and applying appropriate test methods and calibration procedures</w:t>
      </w:r>
    </w:p>
    <w:p w:rsidR="00000000" w:rsidRPr="002951F4" w:rsidP="002951F4">
      <w:pPr>
        <w:pStyle w:val="ListBullet"/>
      </w:pPr>
      <w:r w:rsidRPr="002951F4">
        <w:t>safely calibrating test and measure</w:t>
      </w:r>
      <w:r w:rsidRPr="002951F4">
        <w:t>ment equipment in accordance with standard calibration procedures and documented test methods on at least two (2) occasions</w:t>
      </w:r>
    </w:p>
    <w:p w:rsidR="00000000" w:rsidRPr="002951F4" w:rsidP="002951F4">
      <w:pPr>
        <w:pStyle w:val="ListBullet"/>
      </w:pPr>
      <w:r w:rsidRPr="002951F4">
        <w:t>maintaining close attention to all relevant procedures, regulatory requirements and the accuracy and precision of measurement to ens</w:t>
      </w:r>
      <w:r w:rsidRPr="002951F4">
        <w:t>ure the quality and integrity of test/calibration results</w:t>
      </w:r>
    </w:p>
    <w:p w:rsidR="00000000" w:rsidRPr="002951F4" w:rsidP="002951F4">
      <w:pPr>
        <w:pStyle w:val="ListBullet"/>
      </w:pPr>
      <w:r w:rsidRPr="002951F4">
        <w:t>critically examining each calibration step to ensure repeatability and validity of data</w:t>
      </w:r>
    </w:p>
    <w:p w:rsidR="00000000" w:rsidRPr="002951F4" w:rsidP="002951F4">
      <w:pPr>
        <w:pStyle w:val="ListBullet"/>
      </w:pPr>
      <w:r w:rsidRPr="002951F4">
        <w:t>using calibration and correction charts</w:t>
      </w:r>
    </w:p>
    <w:p w:rsidR="00000000" w:rsidRPr="002951F4" w:rsidP="002951F4">
      <w:pPr>
        <w:pStyle w:val="ListBullet"/>
      </w:pPr>
      <w:r w:rsidRPr="002951F4">
        <w:t>performing calculations to give results in appropriate accuracy, preci</w:t>
      </w:r>
      <w:r w:rsidRPr="002951F4">
        <w:t>sion and units</w:t>
      </w:r>
    </w:p>
    <w:p w:rsidR="00000000" w:rsidRPr="002951F4" w:rsidP="002951F4">
      <w:pPr>
        <w:pStyle w:val="ListBullet"/>
      </w:pPr>
      <w:r w:rsidRPr="002951F4">
        <w:t>using statistical analysis (means, ranges and standard deviations) and estimation of uncertainty of measurement, where required (can use software)</w:t>
      </w:r>
    </w:p>
    <w:p w:rsidR="00000000" w:rsidRPr="002951F4" w:rsidP="002951F4">
      <w:pPr>
        <w:pStyle w:val="ListBullet"/>
      </w:pPr>
      <w:r w:rsidRPr="002951F4">
        <w:t>preparing test/calibration documentation that is accurate and complies with requirements</w:t>
      </w:r>
    </w:p>
    <w:p w:rsidR="00000000" w:rsidRPr="002951F4" w:rsidP="002951F4">
      <w:pPr>
        <w:pStyle w:val="ListBullet"/>
      </w:pPr>
      <w:r w:rsidRPr="002951F4">
        <w:t>recog</w:t>
      </w:r>
      <w:r w:rsidRPr="002951F4">
        <w:t>nising problems or departures in systems and documentation and initiating actions to prevent or minimise them</w:t>
      </w:r>
    </w:p>
    <w:p w:rsidR="00000000" w:rsidRPr="002951F4" w:rsidP="002951F4">
      <w:pPr>
        <w:pStyle w:val="ListBullet"/>
      </w:pPr>
      <w:r w:rsidRPr="002951F4">
        <w:t>recognising and reporting opportunities for improvements.</w:t>
      </w:r>
    </w:p>
    <w:p w:rsidR="00000000" w:rsidRPr="002951F4" w:rsidP="002951F4">
      <w:pPr>
        <w:pStyle w:val="AllowPageBreak"/>
      </w:pPr>
    </w:p>
    <w:p w:rsidR="00000000" w:rsidRPr="002951F4" w:rsidP="002951F4">
      <w:pPr>
        <w:pStyle w:val="Heading1"/>
      </w:pPr>
      <w:bookmarkStart w:id="3" w:name="O_902710"/>
      <w:bookmarkEnd w:id="3"/>
      <w:r w:rsidRPr="002951F4">
        <w:t>Knowledge Evidence</w:t>
      </w:r>
    </w:p>
    <w:p w:rsidR="00000000" w:rsidRPr="002951F4" w:rsidP="003B3CC5">
      <w:pPr>
        <w:pStyle w:val="BodyText"/>
      </w:pPr>
      <w:r w:rsidRPr="002951F4">
        <w:t>Must provide evidence that demonstrates knowledge of</w:t>
      </w:r>
      <w:r w:rsidRPr="002951F4">
        <w:t>:</w:t>
      </w:r>
    </w:p>
    <w:p w:rsidR="00000000" w:rsidRPr="002951F4" w:rsidP="002951F4">
      <w:pPr>
        <w:pStyle w:val="ListBullet"/>
      </w:pPr>
      <w:r w:rsidRPr="002951F4">
        <w:t>purpose of metrology and calibration, including common terminology, concepts, principles, procedures and applications</w:t>
      </w:r>
    </w:p>
    <w:p w:rsidR="00000000" w:rsidRPr="002951F4" w:rsidP="002951F4">
      <w:pPr>
        <w:pStyle w:val="ListBullet"/>
      </w:pPr>
      <w:r w:rsidRPr="002951F4">
        <w:t>National Association of Testing Authority</w:t>
      </w:r>
      <w:r>
        <w:t>’</w:t>
      </w:r>
      <w:r w:rsidRPr="002951F4">
        <w:t>s (NATA) and National Measurement Institute</w:t>
      </w:r>
      <w:r>
        <w:t>’</w:t>
      </w:r>
      <w:r w:rsidRPr="002951F4">
        <w:t>s (NMI) role in the measurement and testing syste</w:t>
      </w:r>
      <w:r w:rsidRPr="002951F4">
        <w:t xml:space="preserve">m in Australia </w:t>
      </w:r>
    </w:p>
    <w:p w:rsidR="00000000" w:rsidRPr="002951F4" w:rsidP="002951F4">
      <w:pPr>
        <w:pStyle w:val="ListBullet"/>
      </w:pPr>
      <w:r w:rsidRPr="002951F4">
        <w:t>traceability, including legal requirements for traceability</w:t>
      </w:r>
    </w:p>
    <w:p w:rsidR="00000000" w:rsidRPr="002951F4" w:rsidP="002951F4">
      <w:pPr>
        <w:pStyle w:val="ListBullet"/>
      </w:pPr>
      <w:r w:rsidRPr="002951F4">
        <w:t>requirements for the competence of testing and calibration laboratories (e.g. AS ISO/IEC 17025) as they affect job role and responsibilities</w:t>
      </w:r>
    </w:p>
    <w:p w:rsidR="00000000" w:rsidRPr="002951F4" w:rsidP="002951F4">
      <w:pPr>
        <w:pStyle w:val="ListBullet"/>
      </w:pPr>
      <w:r w:rsidRPr="002951F4">
        <w:t xml:space="preserve">hierarchy and appropriate selection of reference materials and instruments </w:t>
      </w:r>
    </w:p>
    <w:p w:rsidR="00000000" w:rsidRPr="002951F4" w:rsidP="002951F4">
      <w:pPr>
        <w:pStyle w:val="ListBullet"/>
      </w:pPr>
      <w:r w:rsidRPr="002951F4">
        <w:t>non-conformance/non-compliance procedures and protocols associated with equipment, reference material and calibration procedures</w:t>
      </w:r>
    </w:p>
    <w:p w:rsidR="00000000" w:rsidRPr="002951F4" w:rsidP="002951F4">
      <w:pPr>
        <w:pStyle w:val="ListBullet"/>
      </w:pPr>
      <w:r w:rsidRPr="002951F4">
        <w:t>troubleshooting procedures for equipment and test m</w:t>
      </w:r>
      <w:r w:rsidRPr="002951F4">
        <w:t>ethods</w:t>
      </w:r>
    </w:p>
    <w:p w:rsidR="00000000" w:rsidRPr="002951F4" w:rsidP="002951F4">
      <w:pPr>
        <w:pStyle w:val="ListBullet"/>
      </w:pPr>
      <w:r w:rsidRPr="002951F4">
        <w:t>reporting procedures and legislative requirements</w:t>
      </w:r>
    </w:p>
    <w:p w:rsidR="00000000" w:rsidRPr="002951F4" w:rsidP="002951F4">
      <w:pPr>
        <w:pStyle w:val="ListBullet"/>
      </w:pPr>
      <w:r w:rsidRPr="002951F4">
        <w:t>handling, transport, storage and operation of reference and working standards</w:t>
      </w:r>
    </w:p>
    <w:p w:rsidR="00000000" w:rsidRPr="002951F4" w:rsidP="002951F4">
      <w:pPr>
        <w:pStyle w:val="ListBullet"/>
      </w:pPr>
      <w:r w:rsidRPr="002951F4">
        <w:t>work health and safety (WHS) and laboratory environmental control requirements.</w:t>
      </w:r>
    </w:p>
    <w:p w:rsidR="00000000" w:rsidRPr="002951F4" w:rsidP="002951F4">
      <w:pPr>
        <w:pStyle w:val="BodyText"/>
      </w:pPr>
    </w:p>
    <w:p w:rsidR="00000000" w:rsidRPr="002951F4" w:rsidP="003B3CC5">
      <w:pPr>
        <w:pStyle w:val="BodyText"/>
      </w:pPr>
      <w:r w:rsidRPr="002951F4">
        <w:t>Additional knowledge requirements releva</w:t>
      </w:r>
      <w:r w:rsidRPr="002951F4">
        <w:t>nt to the workplace context that apply for different calibration fields must be assessed, including testing and calibration conducted in the following fields:</w:t>
      </w:r>
    </w:p>
    <w:p w:rsidR="00000000" w:rsidRPr="002951F4" w:rsidP="002951F4">
      <w:pPr>
        <w:pStyle w:val="ListBullet"/>
      </w:pPr>
      <w:r w:rsidRPr="002951F4">
        <w:t>acoustic and vibration measurement</w:t>
      </w:r>
    </w:p>
    <w:p w:rsidR="00000000" w:rsidRPr="002951F4" w:rsidP="002951F4">
      <w:pPr>
        <w:pStyle w:val="ListBullet"/>
      </w:pPr>
      <w:r w:rsidRPr="002951F4">
        <w:t>chemical testing</w:t>
      </w:r>
    </w:p>
    <w:p w:rsidR="00000000" w:rsidRPr="002951F4" w:rsidP="002951F4">
      <w:pPr>
        <w:pStyle w:val="ListBullet"/>
      </w:pPr>
      <w:r w:rsidRPr="002951F4">
        <w:t>construction materials testing</w:t>
      </w:r>
    </w:p>
    <w:p w:rsidR="00000000" w:rsidRPr="002951F4" w:rsidP="002951F4">
      <w:pPr>
        <w:pStyle w:val="ListBullet"/>
      </w:pPr>
      <w:r w:rsidRPr="002951F4">
        <w:t>electrical te</w:t>
      </w:r>
      <w:r w:rsidRPr="002951F4">
        <w:t>sting</w:t>
      </w:r>
    </w:p>
    <w:p w:rsidR="00000000" w:rsidRPr="002951F4" w:rsidP="002951F4">
      <w:pPr>
        <w:pStyle w:val="ListBullet"/>
      </w:pPr>
      <w:r w:rsidRPr="002951F4">
        <w:t>heat and temperature measurement</w:t>
      </w:r>
    </w:p>
    <w:p w:rsidR="00000000" w:rsidRPr="002951F4" w:rsidP="002951F4">
      <w:pPr>
        <w:pStyle w:val="ListBullet"/>
      </w:pPr>
      <w:r w:rsidRPr="002951F4">
        <w:t>mechanical testing</w:t>
      </w:r>
    </w:p>
    <w:p w:rsidR="00000000" w:rsidRPr="002951F4" w:rsidP="002951F4">
      <w:pPr>
        <w:pStyle w:val="ListBullet"/>
      </w:pPr>
      <w:r w:rsidRPr="002951F4">
        <w:t>metrology</w:t>
      </w:r>
    </w:p>
    <w:p w:rsidR="00000000" w:rsidRPr="002951F4" w:rsidP="002951F4">
      <w:pPr>
        <w:pStyle w:val="ListBullet"/>
      </w:pPr>
      <w:r w:rsidRPr="002951F4">
        <w:t>non-destructive testing</w:t>
      </w:r>
    </w:p>
    <w:p w:rsidR="00000000" w:rsidRPr="002951F4" w:rsidP="002951F4">
      <w:pPr>
        <w:pStyle w:val="ListBullet"/>
      </w:pPr>
      <w:r w:rsidRPr="002951F4">
        <w:t>optics and radiometry</w:t>
      </w:r>
    </w:p>
    <w:p w:rsidR="00000000" w:rsidRPr="002951F4" w:rsidP="002951F4">
      <w:pPr>
        <w:pStyle w:val="ListBullet"/>
      </w:pPr>
      <w:r w:rsidRPr="002951F4">
        <w:t>pressure measurement.</w:t>
      </w:r>
    </w:p>
    <w:p w:rsidR="00000000" w:rsidRPr="002951F4" w:rsidP="002951F4">
      <w:pPr>
        <w:pStyle w:val="AllowPageBreak"/>
      </w:pPr>
    </w:p>
    <w:p w:rsidR="00000000" w:rsidRPr="002951F4" w:rsidP="002951F4">
      <w:pPr>
        <w:pStyle w:val="Heading1"/>
      </w:pPr>
      <w:bookmarkStart w:id="4" w:name="O_902709"/>
      <w:bookmarkEnd w:id="4"/>
      <w:r w:rsidRPr="002951F4">
        <w:t>Assessment Conditions</w:t>
      </w:r>
    </w:p>
    <w:p w:rsidR="00000000" w:rsidRPr="002951F4" w:rsidP="002951F4">
      <w:pPr>
        <w:pStyle w:val="ListBullet"/>
      </w:pPr>
      <w:r w:rsidRPr="002951F4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2951F4" w:rsidP="002951F4">
      <w:pPr>
        <w:pStyle w:val="ListBullet"/>
      </w:pPr>
      <w:r w:rsidRPr="002951F4">
        <w:t>This unit of competency is to be assessed in the workplace or a simu</w:t>
      </w:r>
      <w:r w:rsidRPr="002951F4">
        <w:t>lated workplace environment. A simulated workplace environment must reflect realistic operational workplace conditions that cover all aspects of workplace performance, including the environment, task skills, task management skills, contingency management s</w:t>
      </w:r>
      <w:r w:rsidRPr="002951F4">
        <w:t xml:space="preserve">kills and job role environment skills.  </w:t>
      </w:r>
    </w:p>
    <w:p w:rsidR="00000000" w:rsidRPr="002951F4" w:rsidP="002951F4">
      <w:pPr>
        <w:pStyle w:val="ListBullet"/>
      </w:pPr>
      <w:r w:rsidRPr="002951F4">
        <w:t xml:space="preserve">Foundation skills are integral to competent performance of the unit and should not be assessed separately. </w:t>
      </w:r>
    </w:p>
    <w:p w:rsidR="00000000" w:rsidRPr="002951F4" w:rsidP="002951F4">
      <w:pPr>
        <w:pStyle w:val="ListBullet"/>
      </w:pPr>
      <w:r w:rsidRPr="002951F4">
        <w:t>Assessment processes and techniques must be appropriate to the language, literacy and numeracy requirements</w:t>
      </w:r>
      <w:r w:rsidRPr="002951F4">
        <w:t xml:space="preserve"> of the work being performed and the needs of the candidate.</w:t>
      </w:r>
    </w:p>
    <w:p w:rsidR="00000000" w:rsidRPr="002951F4" w:rsidP="002951F4">
      <w:pPr>
        <w:pStyle w:val="ListBullet"/>
      </w:pPr>
      <w:r w:rsidRPr="002951F4">
        <w:t>Knowledge evidence may be collected concurrently with performance evidence (provided a record is kept) or through an independent process, such as workbooks, written assessments or interviews (pro</w:t>
      </w:r>
      <w:r w:rsidRPr="002951F4">
        <w:t>vided a record is kept).</w:t>
      </w:r>
    </w:p>
    <w:p w:rsidR="00000000" w:rsidRPr="002951F4" w:rsidP="002951F4">
      <w:pPr>
        <w:pStyle w:val="ListBullet"/>
      </w:pPr>
      <w:r w:rsidRPr="002951F4">
        <w:t>This unit of competency may be assessed with:</w:t>
      </w:r>
    </w:p>
    <w:p w:rsidR="00000000" w:rsidRPr="002951F4" w:rsidP="002951F4">
      <w:pPr>
        <w:pStyle w:val="ListBullet2"/>
      </w:pPr>
      <w:r w:rsidRPr="002951F4">
        <w:t>MSL924001 Process and interpret data</w:t>
      </w:r>
    </w:p>
    <w:p w:rsidR="00000000" w:rsidRPr="002951F4" w:rsidP="002951F4">
      <w:pPr>
        <w:pStyle w:val="ListBullet2"/>
      </w:pPr>
      <w:r w:rsidRPr="002951F4">
        <w:t>relevant MSL974000 series unit/s of competency</w:t>
      </w:r>
    </w:p>
    <w:p w:rsidR="00000000" w:rsidRPr="002951F4" w:rsidP="002951F4">
      <w:pPr>
        <w:pStyle w:val="ListBullet2"/>
      </w:pPr>
      <w:r w:rsidRPr="002951F4">
        <w:t>relevant MSL975000 series unit/s of competency</w:t>
      </w:r>
    </w:p>
    <w:p w:rsidR="00000000" w:rsidRPr="002951F4" w:rsidP="002951F4">
      <w:pPr>
        <w:pStyle w:val="ListBullet"/>
      </w:pPr>
      <w:r w:rsidRPr="002951F4">
        <w:t>Holistic assessment methods include:</w:t>
      </w:r>
    </w:p>
    <w:p w:rsidR="00000000" w:rsidRPr="002951F4" w:rsidP="002951F4">
      <w:pPr>
        <w:pStyle w:val="ListBullet2"/>
      </w:pPr>
      <w:r w:rsidRPr="002951F4">
        <w:t>review of cali</w:t>
      </w:r>
      <w:r w:rsidRPr="002951F4">
        <w:t>bration results, uncertainty calculations and workplace documentation completed by the candidate</w:t>
      </w:r>
    </w:p>
    <w:p w:rsidR="00000000" w:rsidRPr="002951F4" w:rsidP="002951F4">
      <w:pPr>
        <w:pStyle w:val="ListBullet2"/>
      </w:pPr>
      <w:r w:rsidRPr="002951F4">
        <w:t>feedback from supervisors and/or customers regarding quality of calibration services provided by the candidate</w:t>
      </w:r>
    </w:p>
    <w:p w:rsidR="00000000" w:rsidRPr="002951F4" w:rsidP="002951F4">
      <w:pPr>
        <w:pStyle w:val="ListBullet2"/>
      </w:pPr>
      <w:r w:rsidRPr="002951F4">
        <w:t>observation of the candidate performing standard</w:t>
      </w:r>
      <w:r w:rsidRPr="002951F4">
        <w:t xml:space="preserve"> calibrations</w:t>
      </w:r>
    </w:p>
    <w:p w:rsidR="00000000" w:rsidRPr="002951F4" w:rsidP="002951F4">
      <w:pPr>
        <w:pStyle w:val="ListBullet2"/>
      </w:pPr>
      <w:r w:rsidRPr="002951F4">
        <w:t>oral or written questioning to check required knowledge of standard calibration procedures.</w:t>
      </w:r>
    </w:p>
    <w:p w:rsidR="00000000" w:rsidRPr="002951F4" w:rsidP="002951F4">
      <w:pPr>
        <w:pStyle w:val="ListBullet"/>
      </w:pPr>
      <w:r w:rsidRPr="002951F4">
        <w:t xml:space="preserve">Access is required to instruments, equipment, materials, workplace documentation, procedures </w:t>
      </w:r>
      <w:r w:rsidRPr="002951F4">
        <w:t>and specifications associated with this unit, including, but not limited to:</w:t>
      </w:r>
    </w:p>
    <w:p w:rsidR="00000000" w:rsidRPr="002951F4" w:rsidP="002951F4">
      <w:pPr>
        <w:pStyle w:val="ListBullet2"/>
      </w:pPr>
      <w:r w:rsidRPr="002951F4">
        <w:t>specialised calibration/test equipment, reference standards and laboratory facilities</w:t>
      </w:r>
    </w:p>
    <w:p w:rsidR="00000000" w:rsidRPr="002951F4" w:rsidP="002951F4">
      <w:pPr>
        <w:pStyle w:val="ListBullet2"/>
      </w:pPr>
      <w:r w:rsidRPr="002951F4">
        <w:t>calibration methods, procedures and equipment specifications</w:t>
      </w:r>
    </w:p>
    <w:p w:rsidR="00000000" w:rsidRPr="002951F4" w:rsidP="002951F4">
      <w:pPr>
        <w:pStyle w:val="ListBullet2"/>
      </w:pPr>
      <w:r w:rsidRPr="002951F4">
        <w:t>workplace quality manual and pr</w:t>
      </w:r>
      <w:r w:rsidRPr="002951F4">
        <w:t>ocedures.</w:t>
      </w:r>
    </w:p>
    <w:p w:rsidR="00000000" w:rsidRPr="002951F4" w:rsidP="002951F4">
      <w:pPr>
        <w:pStyle w:val="ListBullet"/>
      </w:pPr>
      <w:r w:rsidRPr="002951F4">
        <w:t xml:space="preserve">Assessors must satisfy the assessor competency requirements that are in place at the time of the assessment as set by the VET regulator.  </w:t>
      </w:r>
    </w:p>
    <w:p w:rsidR="00000000" w:rsidRPr="002951F4" w:rsidP="002951F4">
      <w:pPr>
        <w:pStyle w:val="ListBullet"/>
      </w:pPr>
      <w:r w:rsidRPr="002951F4">
        <w:t>The assessor must demonstrate both technical competence and currency.</w:t>
      </w:r>
    </w:p>
    <w:p w:rsidR="00000000" w:rsidRPr="002951F4" w:rsidP="002951F4">
      <w:pPr>
        <w:pStyle w:val="ListBullet"/>
      </w:pPr>
      <w:r w:rsidRPr="002951F4">
        <w:t>Technical competence can be demonstr</w:t>
      </w:r>
      <w:r w:rsidRPr="002951F4">
        <w:t>ated through:</w:t>
      </w:r>
    </w:p>
    <w:p w:rsidR="00000000" w:rsidRPr="002951F4" w:rsidP="002951F4">
      <w:pPr>
        <w:pStyle w:val="ListBullet2"/>
      </w:pPr>
      <w:r w:rsidRPr="002951F4">
        <w:t>relevant VET or other qualification/Statement of Attainment AND/OR</w:t>
      </w:r>
    </w:p>
    <w:p w:rsidR="00000000" w:rsidRPr="002951F4" w:rsidP="002951F4">
      <w:pPr>
        <w:pStyle w:val="ListBullet2"/>
      </w:pPr>
      <w:r w:rsidRPr="002951F4">
        <w:t xml:space="preserve">relevant workplace experience </w:t>
      </w:r>
    </w:p>
    <w:p w:rsidR="00000000" w:rsidRPr="002951F4" w:rsidP="002951F4">
      <w:pPr>
        <w:pStyle w:val="ListBullet"/>
      </w:pPr>
      <w:r w:rsidRPr="002951F4">
        <w:t>Currency can be demonstrated through:</w:t>
      </w:r>
    </w:p>
    <w:p w:rsidR="00000000" w:rsidRPr="002951F4" w:rsidP="002951F4">
      <w:pPr>
        <w:pStyle w:val="ListBullet2"/>
      </w:pPr>
      <w:r w:rsidRPr="002951F4">
        <w:t>performing the competency being assessed as part of current employment OR</w:t>
      </w:r>
    </w:p>
    <w:p w:rsidR="00000000" w:rsidRPr="002951F4" w:rsidP="002951F4">
      <w:pPr>
        <w:pStyle w:val="ListBullet2"/>
      </w:pPr>
      <w:r w:rsidRPr="002951F4">
        <w:t>having consulted with a labor</w:t>
      </w:r>
      <w:r w:rsidRPr="002951F4">
        <w:t>atory about performing the competency being assessed within the last twelve months.</w:t>
      </w:r>
    </w:p>
    <w:p w:rsidR="00000000" w:rsidRPr="002951F4" w:rsidP="002951F4">
      <w:pPr>
        <w:pStyle w:val="AllowPageBreak"/>
      </w:pPr>
    </w:p>
    <w:p w:rsidR="00000000" w:rsidRPr="002951F4" w:rsidP="002951F4">
      <w:pPr>
        <w:pStyle w:val="Heading1"/>
      </w:pPr>
      <w:bookmarkStart w:id="5" w:name="O_902707"/>
      <w:bookmarkEnd w:id="5"/>
      <w:r w:rsidRPr="002951F4">
        <w:t>Links</w:t>
      </w:r>
    </w:p>
    <w:p w:rsidR="00000000" w:rsidRPr="002951F4" w:rsidP="003B3CC5">
      <w:pPr>
        <w:pStyle w:val="BodyText"/>
      </w:pPr>
      <w:r w:rsidRPr="002951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F382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951F4" w:rsidP="002951F4"/>
    <w:sectPr w:rsidSect="002951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1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1F4" w:rsidRPr="003B3CC5" w:rsidP="003B3C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1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CC5" w:rsidP="002951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3CC5" w:rsidP="002951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3CC5" w:rsidP="002951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1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C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1F4" w:rsidRPr="003B3CC5" w:rsidP="003B3C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1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CC5" w:rsidRPr="002D2AF8" w:rsidP="002951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MSL904001 Perform standard calibrations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3B3CC5" w:rsidP="002951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221A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38B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1820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1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1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1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1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1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1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1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1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1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1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1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1F4"/>
  </w:style>
  <w:style w:type="character" w:customStyle="1" w:styleId="Heading1Char">
    <w:name w:val="Heading 1 Char"/>
    <w:basedOn w:val="DefaultParagraphFont"/>
    <w:link w:val="Heading1"/>
    <w:rsid w:val="002951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1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1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1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51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51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1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1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1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1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1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1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1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1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1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1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1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1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1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1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1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1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1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51F4"/>
    <w:rPr>
      <w:b/>
      <w:spacing w:val="0"/>
    </w:rPr>
  </w:style>
  <w:style w:type="paragraph" w:customStyle="1" w:styleId="SuperTitle">
    <w:name w:val="SuperTitle"/>
    <w:basedOn w:val="Title"/>
    <w:rsid w:val="002951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1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1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51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1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1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1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1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1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1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1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1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51F4"/>
    <w:rPr>
      <w:i/>
    </w:rPr>
  </w:style>
  <w:style w:type="paragraph" w:styleId="Caption">
    <w:name w:val="caption"/>
    <w:basedOn w:val="BodyText"/>
    <w:next w:val="Normal"/>
    <w:qFormat/>
    <w:rsid w:val="002951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1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1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1F4"/>
  </w:style>
  <w:style w:type="paragraph" w:styleId="TableofFigures">
    <w:name w:val="table of figures"/>
    <w:basedOn w:val="Normal"/>
    <w:next w:val="Normal"/>
    <w:semiHidden/>
    <w:rsid w:val="002951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1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51F4"/>
    <w:rPr>
      <w:rFonts w:ascii="Wingdings" w:hAnsi="Wingdings"/>
    </w:rPr>
  </w:style>
  <w:style w:type="paragraph" w:customStyle="1" w:styleId="TableHeading">
    <w:name w:val="Table Heading"/>
    <w:basedOn w:val="HeadingBase"/>
    <w:rsid w:val="002951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1F4"/>
    <w:rPr>
      <w:color w:val="0033CC"/>
      <w:u w:val="none"/>
    </w:rPr>
  </w:style>
  <w:style w:type="paragraph" w:customStyle="1" w:styleId="BodyTextRight">
    <w:name w:val="Body Text Right"/>
    <w:basedOn w:val="BodyText"/>
    <w:rsid w:val="002951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1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1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1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1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1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1F4"/>
    <w:rPr>
      <w:sz w:val="32"/>
    </w:rPr>
  </w:style>
  <w:style w:type="paragraph" w:customStyle="1" w:styleId="HeadingProcedure">
    <w:name w:val="Heading Procedure"/>
    <w:basedOn w:val="HeadingBase"/>
    <w:next w:val="Normal"/>
    <w:rsid w:val="002951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1F4"/>
    <w:pPr>
      <w:spacing w:before="60" w:after="60"/>
    </w:pPr>
  </w:style>
  <w:style w:type="paragraph" w:styleId="ListContinue">
    <w:name w:val="List Continue"/>
    <w:basedOn w:val="List"/>
    <w:rsid w:val="002951F4"/>
    <w:pPr>
      <w:ind w:firstLine="0"/>
    </w:pPr>
  </w:style>
  <w:style w:type="paragraph" w:customStyle="1" w:styleId="ListNote">
    <w:name w:val="List Note"/>
    <w:basedOn w:val="List"/>
    <w:rsid w:val="002951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1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1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1F4"/>
    <w:rPr>
      <w:rFonts w:ascii="Courier New" w:hAnsi="Courier New"/>
    </w:rPr>
  </w:style>
  <w:style w:type="paragraph" w:customStyle="1" w:styleId="NoteBullet">
    <w:name w:val="Note Bullet"/>
    <w:basedOn w:val="Note"/>
    <w:rsid w:val="002951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1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1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1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1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51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1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1F4"/>
    <w:rPr>
      <w:b/>
      <w:smallCaps/>
    </w:rPr>
  </w:style>
  <w:style w:type="paragraph" w:customStyle="1" w:styleId="TableListNumber">
    <w:name w:val="Table List Number"/>
    <w:basedOn w:val="ListNumber"/>
    <w:rsid w:val="002951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1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1F4"/>
    <w:pPr>
      <w:numPr>
        <w:numId w:val="9"/>
      </w:numPr>
    </w:pPr>
  </w:style>
  <w:style w:type="paragraph" w:customStyle="1" w:styleId="ListAlpha2">
    <w:name w:val="List Alpha 2"/>
    <w:basedOn w:val="List2"/>
    <w:rsid w:val="002951F4"/>
    <w:pPr>
      <w:numPr>
        <w:numId w:val="8"/>
      </w:numPr>
    </w:pPr>
  </w:style>
  <w:style w:type="paragraph" w:styleId="List2">
    <w:name w:val="List 2"/>
    <w:basedOn w:val="BodyText"/>
    <w:rsid w:val="002951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1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1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1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1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1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51F4"/>
    <w:pPr>
      <w:numPr>
        <w:numId w:val="4"/>
      </w:numPr>
    </w:pPr>
  </w:style>
  <w:style w:type="paragraph" w:styleId="ListContinue2">
    <w:name w:val="List Continue 2"/>
    <w:basedOn w:val="List2"/>
    <w:rsid w:val="002951F4"/>
    <w:pPr>
      <w:ind w:firstLine="0"/>
    </w:pPr>
  </w:style>
  <w:style w:type="paragraph" w:styleId="ListContinue3">
    <w:name w:val="List Continue 3"/>
    <w:basedOn w:val="List3"/>
    <w:rsid w:val="002951F4"/>
    <w:pPr>
      <w:ind w:left="1021" w:firstLine="0"/>
    </w:pPr>
  </w:style>
  <w:style w:type="paragraph" w:styleId="ListContinue4">
    <w:name w:val="List Continue 4"/>
    <w:basedOn w:val="List4"/>
    <w:rsid w:val="002951F4"/>
    <w:pPr>
      <w:ind w:firstLine="0"/>
    </w:pPr>
  </w:style>
  <w:style w:type="paragraph" w:styleId="ListContinue5">
    <w:name w:val="List Continue 5"/>
    <w:basedOn w:val="List5"/>
    <w:rsid w:val="002951F4"/>
    <w:pPr>
      <w:ind w:firstLine="0"/>
    </w:pPr>
  </w:style>
  <w:style w:type="paragraph" w:styleId="ListNumber3">
    <w:name w:val="List Number 3"/>
    <w:basedOn w:val="List3"/>
    <w:rsid w:val="002951F4"/>
    <w:pPr>
      <w:numPr>
        <w:numId w:val="5"/>
      </w:numPr>
    </w:pPr>
  </w:style>
  <w:style w:type="paragraph" w:styleId="ListNumber4">
    <w:name w:val="List Number 4"/>
    <w:basedOn w:val="List4"/>
    <w:rsid w:val="002951F4"/>
    <w:pPr>
      <w:numPr>
        <w:numId w:val="6"/>
      </w:numPr>
    </w:pPr>
  </w:style>
  <w:style w:type="paragraph" w:styleId="ListNumber5">
    <w:name w:val="List Number 5"/>
    <w:basedOn w:val="List5"/>
    <w:rsid w:val="002951F4"/>
    <w:pPr>
      <w:numPr>
        <w:numId w:val="7"/>
      </w:numPr>
    </w:pPr>
  </w:style>
  <w:style w:type="paragraph" w:styleId="BlockText">
    <w:name w:val="Block Text"/>
    <w:basedOn w:val="Normal"/>
    <w:rsid w:val="002951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1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1F4"/>
    <w:rPr>
      <w:sz w:val="16"/>
      <w:vertAlign w:val="superscript"/>
    </w:rPr>
  </w:style>
  <w:style w:type="character" w:customStyle="1" w:styleId="Symbols">
    <w:name w:val="Symbols"/>
    <w:basedOn w:val="DefaultParagraphFont"/>
    <w:rsid w:val="002951F4"/>
    <w:rPr>
      <w:rFonts w:ascii="Symbol" w:hAnsi="Symbol"/>
    </w:rPr>
  </w:style>
  <w:style w:type="character" w:customStyle="1" w:styleId="MenuOptions">
    <w:name w:val="Menu Options"/>
    <w:basedOn w:val="DefaultParagraphFont"/>
    <w:rsid w:val="002951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1F4"/>
    <w:rPr>
      <w:b/>
    </w:rPr>
  </w:style>
  <w:style w:type="character" w:customStyle="1" w:styleId="Underlined">
    <w:name w:val="Underlined"/>
    <w:basedOn w:val="DefaultParagraphFont"/>
    <w:rsid w:val="002951F4"/>
    <w:rPr>
      <w:u w:val="single"/>
    </w:rPr>
  </w:style>
  <w:style w:type="paragraph" w:customStyle="1" w:styleId="TableBodyTextRight">
    <w:name w:val="Table Body Text Right"/>
    <w:basedOn w:val="TableBodyText"/>
    <w:rsid w:val="002951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1F4"/>
    <w:rPr>
      <w:sz w:val="18"/>
    </w:rPr>
  </w:style>
  <w:style w:type="paragraph" w:customStyle="1" w:styleId="BodySmallRight">
    <w:name w:val="Body Small Right"/>
    <w:basedOn w:val="BodyTextRight"/>
    <w:rsid w:val="002951F4"/>
    <w:rPr>
      <w:sz w:val="18"/>
      <w:szCs w:val="18"/>
    </w:rPr>
  </w:style>
  <w:style w:type="paragraph" w:customStyle="1" w:styleId="MarginEdition">
    <w:name w:val="Margin Edition"/>
    <w:basedOn w:val="MarginNote"/>
    <w:rsid w:val="002951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1F4"/>
    <w:rPr>
      <w:sz w:val="2"/>
      <w:szCs w:val="2"/>
    </w:rPr>
  </w:style>
  <w:style w:type="character" w:customStyle="1" w:styleId="Small">
    <w:name w:val="Small"/>
    <w:basedOn w:val="DefaultParagraphFont"/>
    <w:rsid w:val="002951F4"/>
    <w:rPr>
      <w:sz w:val="16"/>
    </w:rPr>
  </w:style>
  <w:style w:type="paragraph" w:customStyle="1" w:styleId="WideTable">
    <w:name w:val="Wide Table"/>
    <w:basedOn w:val="Normal"/>
    <w:rsid w:val="002951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1F4"/>
  </w:style>
  <w:style w:type="paragraph" w:styleId="Quote">
    <w:name w:val="Quote"/>
    <w:basedOn w:val="Heading1"/>
    <w:link w:val="QuoteChar"/>
    <w:qFormat/>
    <w:rsid w:val="002951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1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1F4"/>
    <w:pPr>
      <w:pageBreakBefore/>
    </w:pPr>
  </w:style>
  <w:style w:type="paragraph" w:customStyle="1" w:styleId="Border">
    <w:name w:val="Border"/>
    <w:basedOn w:val="Normal"/>
    <w:qFormat/>
    <w:rsid w:val="002951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1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1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1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1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1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1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1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1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1F4"/>
    <w:rPr>
      <w:u w:val="single"/>
    </w:rPr>
  </w:style>
  <w:style w:type="character" w:customStyle="1" w:styleId="BoldandItalics">
    <w:name w:val="Bold and Italics"/>
    <w:qFormat/>
    <w:rsid w:val="002951F4"/>
    <w:rPr>
      <w:b/>
      <w:i/>
      <w:u w:val="none"/>
    </w:rPr>
  </w:style>
  <w:style w:type="paragraph" w:styleId="BalloonText">
    <w:name w:val="Balloon Text"/>
    <w:basedOn w:val="Normal"/>
    <w:link w:val="BalloonTextChar"/>
    <w:rsid w:val="00295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1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1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1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1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1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1F4"/>
    <w:pPr>
      <w:spacing w:before="0" w:after="0"/>
    </w:pPr>
  </w:style>
  <w:style w:type="paragraph" w:customStyle="1" w:styleId="BodyTextBold">
    <w:name w:val="Body Text Bold"/>
    <w:basedOn w:val="BodyText"/>
    <w:qFormat/>
    <w:rsid w:val="002951F4"/>
    <w:rPr>
      <w:b/>
    </w:rPr>
  </w:style>
  <w:style w:type="character" w:styleId="Hyperlink">
    <w:name w:val="Hyperlink"/>
    <w:basedOn w:val="DefaultParagraphFont"/>
    <w:uiPriority w:val="99"/>
    <w:unhideWhenUsed/>
    <w:rsid w:val="003B3C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5104</Characters>
  <Application>Microsoft Office Word</Application>
  <DocSecurity>0</DocSecurity>
  <Lines>108</Lines>
  <Paragraphs>79</Paragraphs>
  <ScaleCrop>false</ScaleCrop>
  <Company>Author-it Software Corporation Ltd.</Company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MSL904001 Perform standard calibrations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2021-03-30T00:19:00Z</dcterms:created>
  <dcterms:modified xsi:type="dcterms:W3CDTF">2021-03-30T00:19:00Z</dcterms:modified>
</cp:coreProperties>
</file>