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19E7" w:rsidP="002D19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MSFUP3015 Apply traditional foundations to upholstered furniture</w:t>
      </w:r>
      <w:r>
        <w:fldChar w:fldCharType="end"/>
      </w:r>
    </w:p>
    <w:p w:rsidR="002D19E7" w:rsidP="002D19E7">
      <w:pPr>
        <w:pStyle w:val="Version"/>
        <w:sectPr w:rsidSect="00C532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26A" w:rsidP="00C5326A">
      <w:pPr>
        <w:pStyle w:val="SuperHeading"/>
      </w:pPr>
      <w:r w:rsidRPr="00C5326A">
        <w:t>MSFUP3015 Apply traditional foundations to upholstered furniture</w:t>
      </w:r>
    </w:p>
    <w:p w:rsidR="00000000" w:rsidRPr="00C5326A" w:rsidP="00C5326A">
      <w:pPr>
        <w:pStyle w:val="Heading1"/>
      </w:pPr>
      <w:bookmarkStart w:id="1" w:name="O_1247617"/>
      <w:bookmarkEnd w:id="1"/>
      <w:r w:rsidRPr="00C5326A">
        <w:t>Modification History</w:t>
      </w:r>
    </w:p>
    <w:p w:rsidR="002D19E7" w:rsidP="002D19E7">
      <w:pPr>
        <w:pStyle w:val="BodyText"/>
      </w:pPr>
      <w:r w:rsidRPr="00C5326A">
        <w:t>Release 1. Changes to code, application, elements, performance criteria, assessment requirements</w:t>
      </w:r>
      <w:r w:rsidRPr="00C5326A">
        <w:t>. Foundation skills added. Range of conditions removed. Assessment requirements changed.</w:t>
      </w:r>
    </w:p>
    <w:p w:rsidR="00000000" w:rsidRPr="00C5326A" w:rsidP="00C5326A">
      <w:pPr>
        <w:pStyle w:val="Heading1"/>
      </w:pPr>
      <w:bookmarkStart w:id="2" w:name="O_1247618"/>
      <w:bookmarkEnd w:id="2"/>
      <w:r w:rsidRPr="00C5326A">
        <w:t>Application</w:t>
      </w:r>
    </w:p>
    <w:p w:rsidR="00000000" w:rsidRPr="00C5326A" w:rsidP="002D19E7">
      <w:pPr>
        <w:pStyle w:val="BodyText"/>
      </w:pPr>
      <w:r w:rsidRPr="00C5326A">
        <w:t>This unit describes the skills and knowledge required to construct traditional upholstery foundations. Upholstery workers with this com</w:t>
      </w:r>
      <w:r w:rsidRPr="00C5326A">
        <w:t>petency work in accordance with established procedures, using some discretion, judgement and problem-solving to identify and resolve potential issues. They recognise dependencies and use cooperative approaches to optimise workflow and productivity.</w:t>
      </w:r>
    </w:p>
    <w:p w:rsidR="002D19E7" w:rsidP="002D19E7">
      <w:pPr>
        <w:pStyle w:val="BodyText"/>
      </w:pPr>
      <w:r w:rsidRPr="00C5326A">
        <w:t>No lice</w:t>
      </w:r>
      <w:r w:rsidRPr="00C5326A">
        <w:t>nsing or certification requirements exist at the time of publication. Relevant legislation, industry standards and codes of practice within Australia must be applied.</w:t>
      </w:r>
    </w:p>
    <w:p w:rsidR="00000000" w:rsidRPr="00C5326A" w:rsidP="00C5326A">
      <w:pPr>
        <w:pStyle w:val="Heading1"/>
      </w:pPr>
      <w:bookmarkStart w:id="3" w:name="O_1247620"/>
      <w:bookmarkEnd w:id="3"/>
      <w:r w:rsidRPr="00C5326A">
        <w:t>Competency Field</w:t>
      </w:r>
    </w:p>
    <w:p w:rsidR="002D19E7" w:rsidP="002D19E7">
      <w:pPr>
        <w:pStyle w:val="BodyText"/>
      </w:pPr>
      <w:r w:rsidRPr="00C5326A">
        <w:t>Upholstery</w:t>
      </w:r>
    </w:p>
    <w:p w:rsidR="00000000" w:rsidRPr="00C5326A" w:rsidP="00C5326A">
      <w:pPr>
        <w:pStyle w:val="Heading1"/>
      </w:pPr>
      <w:bookmarkStart w:id="4" w:name="O_1247622"/>
      <w:bookmarkEnd w:id="4"/>
      <w:r w:rsidRPr="00C5326A">
        <w:t>Elements and Performa</w:t>
      </w:r>
      <w:r w:rsidRPr="00C5326A">
        <w:t>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16"/>
        <w:gridCol w:w="7423"/>
      </w:tblGrid>
      <w:tr w:rsidTr="00C532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6A" w:rsidP="00C5326A">
            <w:pPr>
              <w:pStyle w:val="BodyText"/>
            </w:pPr>
            <w:r w:rsidRPr="00C5326A">
              <w:rPr>
                <w:rStyle w:val="SpecialBold"/>
              </w:rPr>
              <w:t>Elements</w:t>
            </w: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6A">
            <w:pPr>
              <w:pStyle w:val="BodyText"/>
              <w:rPr>
                <w:lang w:val="en-NZ"/>
              </w:rPr>
            </w:pPr>
            <w:r w:rsidRPr="00C5326A">
              <w:rPr>
                <w:rStyle w:val="SpecialBold"/>
              </w:rPr>
              <w:t>Performance Criteria</w:t>
            </w:r>
          </w:p>
        </w:tc>
      </w:tr>
      <w:tr w:rsidTr="00C532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6A">
            <w:pPr>
              <w:pStyle w:val="BodyText"/>
              <w:rPr>
                <w:lang w:val="en-NZ"/>
              </w:rPr>
            </w:pPr>
            <w:r w:rsidRPr="00C5326A">
              <w:t>Elements describe the essential outcomes.</w:t>
            </w:r>
          </w:p>
        </w:tc>
        <w:tc>
          <w:tcPr>
            <w:tcW w:w="74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6A">
            <w:pPr>
              <w:pStyle w:val="BodyText"/>
              <w:rPr>
                <w:lang w:val="en-NZ"/>
              </w:rPr>
            </w:pPr>
            <w:r w:rsidRPr="00C5326A">
              <w:t>Performance criteria describe the performance needed to demonstrate achievement of the element.</w:t>
            </w:r>
          </w:p>
        </w:tc>
      </w:tr>
      <w:tr w:rsidTr="00C532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6A">
            <w:pPr>
              <w:pStyle w:val="BodyText"/>
              <w:rPr>
                <w:lang w:val="en-NZ"/>
              </w:rPr>
            </w:pPr>
            <w:r w:rsidRPr="00C5326A">
              <w:t>1. Plan task</w:t>
            </w: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6A" w:rsidP="00C5326A">
            <w:pPr>
              <w:pStyle w:val="BodyText"/>
            </w:pPr>
            <w:r w:rsidRPr="00C5326A">
              <w:t>1.1 Determine task requirements, including confirming type of traditional furniture foundations to be applied, from work documentation</w:t>
            </w:r>
          </w:p>
          <w:p w:rsidR="00000000" w:rsidRPr="00C5326A" w:rsidP="00C5326A">
            <w:pPr>
              <w:pStyle w:val="BodyText"/>
            </w:pPr>
            <w:r w:rsidRPr="00C5326A">
              <w:t>1.2 Identify and follow work health and safety requirements</w:t>
            </w:r>
          </w:p>
          <w:p w:rsidR="00000000" w:rsidRPr="00C5326A" w:rsidP="00C5326A">
            <w:pPr>
              <w:pStyle w:val="BodyText"/>
            </w:pPr>
            <w:r w:rsidRPr="00C5326A">
              <w:t>1.3 Identify attaching methods and determine fitting sequence</w:t>
            </w:r>
            <w:r w:rsidRPr="00C5326A">
              <w:t xml:space="preserve"> to meet task requirements</w:t>
            </w:r>
          </w:p>
          <w:p w:rsidR="00000000" w:rsidRPr="00C5326A" w:rsidP="00C5326A">
            <w:pPr>
              <w:pStyle w:val="BodyText"/>
            </w:pPr>
            <w:r w:rsidRPr="00C5326A">
              <w:t>1.4 Select and prepare work area to meet task requirements</w:t>
            </w:r>
          </w:p>
          <w:p w:rsidR="00000000" w:rsidRPr="00C5326A" w:rsidP="00C5326A">
            <w:pPr>
              <w:pStyle w:val="BodyText"/>
            </w:pPr>
            <w:r w:rsidRPr="00C5326A">
              <w:t xml:space="preserve">1.5 Select tools and hardware to meet task requirements and check they are </w:t>
            </w:r>
            <w:r w:rsidRPr="00C5326A">
              <w:t>safe and functional</w:t>
            </w:r>
          </w:p>
          <w:p w:rsidR="00000000" w:rsidP="00C5326A">
            <w:pPr>
              <w:pStyle w:val="BodyText"/>
              <w:rPr>
                <w:lang w:val="en-NZ"/>
              </w:rPr>
            </w:pPr>
            <w:r w:rsidRPr="00C5326A">
              <w:t>1.6 Select traditional foundation components to meet task requirements</w:t>
            </w:r>
          </w:p>
        </w:tc>
      </w:tr>
      <w:tr w:rsidTr="00C532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6A">
            <w:pPr>
              <w:pStyle w:val="BodyText"/>
              <w:rPr>
                <w:lang w:val="en-NZ"/>
              </w:rPr>
            </w:pPr>
            <w:r w:rsidRPr="00C5326A">
              <w:t xml:space="preserve">2. </w:t>
            </w:r>
            <w:r w:rsidRPr="00C5326A">
              <w:t>Prepare and attach traditional foundation</w:t>
            </w: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6A" w:rsidP="00C5326A">
            <w:pPr>
              <w:pStyle w:val="BodyText"/>
            </w:pPr>
            <w:r w:rsidRPr="00C5326A">
              <w:t>2.1 Measure required mounting points and mark on frame</w:t>
            </w:r>
          </w:p>
          <w:p w:rsidR="00000000" w:rsidRPr="00C5326A" w:rsidP="00C5326A">
            <w:pPr>
              <w:pStyle w:val="BodyText"/>
            </w:pPr>
            <w:r w:rsidRPr="00C5326A">
              <w:t>2.2 Position traditional foundation and use appropriate fasteners to secure to item</w:t>
            </w:r>
          </w:p>
          <w:p w:rsidR="00000000" w:rsidRPr="00C5326A" w:rsidP="00C5326A">
            <w:pPr>
              <w:pStyle w:val="BodyText"/>
            </w:pPr>
            <w:r w:rsidRPr="00C5326A">
              <w:t>2.3 Inspect applied foundation for fit, finish and quality, and tag those t</w:t>
            </w:r>
            <w:r w:rsidRPr="00C5326A">
              <w:t>hat require rework, recycling or disposal in accordance with workplace procedures</w:t>
            </w:r>
          </w:p>
          <w:p w:rsidR="00000000" w:rsidRPr="00C5326A" w:rsidP="00C5326A">
            <w:pPr>
              <w:pStyle w:val="BodyText"/>
            </w:pPr>
            <w:r w:rsidRPr="00C5326A">
              <w:t>2.4 Monitor process and note conditions that affect quality standards</w:t>
            </w:r>
          </w:p>
          <w:p w:rsidR="00000000" w:rsidRPr="00C5326A" w:rsidP="00C5326A">
            <w:pPr>
              <w:pStyle w:val="BodyText"/>
            </w:pPr>
            <w:r w:rsidRPr="00C5326A">
              <w:t>2.5 Report variations to normal activities in accordance with workplace procedures</w:t>
            </w:r>
          </w:p>
          <w:p w:rsidR="00000000" w:rsidP="00C5326A">
            <w:pPr>
              <w:pStyle w:val="BodyText"/>
              <w:rPr>
                <w:lang w:val="en-NZ"/>
              </w:rPr>
            </w:pPr>
            <w:r w:rsidRPr="00C5326A">
              <w:t>2.6 Implement authori</w:t>
            </w:r>
            <w:r w:rsidRPr="00C5326A">
              <w:t>sed changes to standard operating procedures and task requirements in accordance with workplace procedures</w:t>
            </w:r>
          </w:p>
        </w:tc>
      </w:tr>
      <w:tr w:rsidTr="00C532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6A">
            <w:pPr>
              <w:pStyle w:val="BodyText"/>
              <w:rPr>
                <w:lang w:val="en-NZ"/>
              </w:rPr>
            </w:pPr>
            <w:r w:rsidRPr="00C5326A">
              <w:t>3. Complete task</w:t>
            </w: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6A" w:rsidP="00C5326A">
            <w:pPr>
              <w:pStyle w:val="BodyText"/>
            </w:pPr>
            <w:r w:rsidRPr="00C5326A">
              <w:t>3.1 Check, clean and store equipment and any unused materials in accordance with workplace procedures</w:t>
            </w:r>
          </w:p>
          <w:p w:rsidR="00000000" w:rsidRPr="00C5326A" w:rsidP="00C5326A">
            <w:pPr>
              <w:pStyle w:val="BodyText"/>
            </w:pPr>
            <w:r w:rsidRPr="00C5326A">
              <w:t>3.2 Tag unserviceable equipment, identify faults and inform appropriate personnel in accordance with workplace procedures</w:t>
            </w:r>
          </w:p>
          <w:p w:rsidR="00000000" w:rsidRPr="00C5326A" w:rsidP="00C5326A">
            <w:pPr>
              <w:pStyle w:val="BodyText"/>
            </w:pPr>
            <w:r w:rsidRPr="00C5326A">
              <w:t>3.3 Clean work area, safely dispose of waste and identify items for recycling in accordance with workplace procedures</w:t>
            </w:r>
          </w:p>
          <w:p w:rsidR="00000000" w:rsidRPr="00C5326A" w:rsidP="00C5326A">
            <w:pPr>
              <w:pStyle w:val="BodyText"/>
            </w:pPr>
            <w:r w:rsidRPr="00C5326A">
              <w:t>3.4 Complete req</w:t>
            </w:r>
            <w:r w:rsidRPr="00C5326A">
              <w:t>uired workplace records, including stock usage, in accordance with workplace procedures</w:t>
            </w:r>
          </w:p>
        </w:tc>
      </w:tr>
    </w:tbl>
    <w:p w:rsidR="002D19E7" w:rsidP="00C5326A">
      <w:pPr>
        <w:pStyle w:val="BodyText"/>
      </w:pPr>
    </w:p>
    <w:p w:rsidR="002D19E7" w:rsidP="00C5326A">
      <w:pPr>
        <w:pStyle w:val="BodyText"/>
      </w:pPr>
    </w:p>
    <w:p w:rsidR="00000000" w:rsidRPr="00C5326A" w:rsidP="00C5326A">
      <w:pPr>
        <w:pStyle w:val="Heading1"/>
      </w:pPr>
      <w:bookmarkStart w:id="5" w:name="O_1247623"/>
      <w:bookmarkEnd w:id="5"/>
      <w:r w:rsidRPr="00C5326A">
        <w:t>Foundation Skills</w:t>
      </w:r>
    </w:p>
    <w:p w:rsidR="00000000" w:rsidRPr="00C5326A" w:rsidP="002D19E7">
      <w:pPr>
        <w:pStyle w:val="BodyText"/>
      </w:pPr>
      <w:r w:rsidRPr="00C5326A">
        <w:t>This section describes those language, literacy, numeracy and employment skills that are essential to performance but not explic</w:t>
      </w:r>
      <w:r w:rsidRPr="00C5326A">
        <w:t>it in the performance criteria.</w:t>
      </w:r>
    </w:p>
    <w:p w:rsidR="00000000" w:rsidRPr="00C5326A" w:rsidP="00C5326A">
      <w:pPr>
        <w:pStyle w:val="ListBullet"/>
      </w:pPr>
      <w:r w:rsidRPr="00C5326A">
        <w:t>Reading skills to interpret familiar workplace procedures and work documentation</w:t>
      </w:r>
    </w:p>
    <w:p w:rsidR="00000000" w:rsidRPr="00C5326A" w:rsidP="00C5326A">
      <w:pPr>
        <w:pStyle w:val="ListBullet"/>
      </w:pPr>
      <w:r w:rsidRPr="00C5326A">
        <w:t>Writing skills to communicate information in familiar workplace documents</w:t>
      </w:r>
    </w:p>
    <w:p w:rsidR="00000000" w:rsidRPr="00C5326A" w:rsidP="00C5326A">
      <w:pPr>
        <w:pStyle w:val="ListBullet"/>
      </w:pPr>
      <w:r w:rsidRPr="00C5326A">
        <w:t>Numeracy skills to measure and calculate lengths and areas and estim</w:t>
      </w:r>
      <w:r w:rsidRPr="00C5326A">
        <w:t>ate material requirements.</w:t>
      </w:r>
    </w:p>
    <w:p w:rsidR="002D19E7" w:rsidP="002D19E7">
      <w:pPr>
        <w:pStyle w:val="BodyText"/>
      </w:pPr>
      <w:r w:rsidRPr="00C5326A">
        <w:t>Other foundation skills essential to performance are explicit in the performance criteria of this unit.</w:t>
      </w:r>
    </w:p>
    <w:p w:rsidR="00000000" w:rsidRPr="00C5326A" w:rsidP="00C5326A">
      <w:pPr>
        <w:pStyle w:val="Heading1"/>
      </w:pPr>
      <w:bookmarkStart w:id="6" w:name="O_1247625"/>
      <w:bookmarkEnd w:id="6"/>
      <w:r w:rsidRPr="00C5326A">
        <w:t>Unit Mapping Information</w:t>
      </w:r>
    </w:p>
    <w:p w:rsidR="002D19E7" w:rsidP="002D19E7">
      <w:pPr>
        <w:pStyle w:val="BodyText"/>
      </w:pPr>
      <w:r w:rsidRPr="00C5326A">
        <w:t>Release 1. Supersedes and is equivalent to MSFUP3001 Apply traditional foundations to upholstered furniture.</w:t>
      </w:r>
    </w:p>
    <w:p w:rsidR="00000000" w:rsidRPr="00C5326A" w:rsidP="00C5326A">
      <w:pPr>
        <w:pStyle w:val="Heading1"/>
      </w:pPr>
      <w:bookmarkStart w:id="7" w:name="O_1247632"/>
      <w:bookmarkEnd w:id="7"/>
      <w:r w:rsidRPr="00C5326A">
        <w:t>Links</w:t>
      </w:r>
    </w:p>
    <w:p w:rsidR="00000000" w:rsidRPr="00C5326A" w:rsidP="002D19E7">
      <w:pPr>
        <w:pStyle w:val="BodyText"/>
      </w:pPr>
      <w:r w:rsidRPr="00C5326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30AB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5326A" w:rsidP="00C5326A"/>
    <w:sectPr w:rsidSect="00C532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2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26A" w:rsidRPr="002D19E7" w:rsidP="002D19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2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9E7" w:rsidP="00C532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19E7" w:rsidP="00C532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D19E7" w:rsidP="00C532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2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9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26A" w:rsidRPr="002D19E7" w:rsidP="002D19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2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9E7" w:rsidRPr="002D2AF8" w:rsidP="00C532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MSFUP3015 Apply traditional foundations to upholstered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D19E7" w:rsidP="00C532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F67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F623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2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2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2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2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2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2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2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2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2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2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2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26A"/>
  </w:style>
  <w:style w:type="character" w:customStyle="1" w:styleId="Heading1Char">
    <w:name w:val="Heading 1 Char"/>
    <w:basedOn w:val="DefaultParagraphFont"/>
    <w:link w:val="Heading1"/>
    <w:rsid w:val="00C532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2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2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2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326A"/>
    <w:rPr>
      <w:b/>
      <w:spacing w:val="0"/>
    </w:rPr>
  </w:style>
  <w:style w:type="paragraph" w:customStyle="1" w:styleId="SuperHeading">
    <w:name w:val="SuperHeading"/>
    <w:basedOn w:val="Normal"/>
    <w:rsid w:val="00C532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2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2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2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2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2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2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2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2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2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2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2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2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2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2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2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2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2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2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2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2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32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32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2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2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2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2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2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2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2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2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26A"/>
    <w:rPr>
      <w:i/>
    </w:rPr>
  </w:style>
  <w:style w:type="paragraph" w:styleId="Caption">
    <w:name w:val="caption"/>
    <w:basedOn w:val="BodyText"/>
    <w:next w:val="Normal"/>
    <w:qFormat/>
    <w:rsid w:val="00C532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2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2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26A"/>
  </w:style>
  <w:style w:type="paragraph" w:styleId="TableofFigures">
    <w:name w:val="table of figures"/>
    <w:basedOn w:val="Normal"/>
    <w:next w:val="Normal"/>
    <w:semiHidden/>
    <w:rsid w:val="00C532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2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326A"/>
    <w:rPr>
      <w:rFonts w:ascii="Wingdings" w:hAnsi="Wingdings"/>
    </w:rPr>
  </w:style>
  <w:style w:type="paragraph" w:customStyle="1" w:styleId="TableHeading">
    <w:name w:val="Table Heading"/>
    <w:basedOn w:val="HeadingBase"/>
    <w:rsid w:val="00C532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26A"/>
    <w:rPr>
      <w:color w:val="0033CC"/>
      <w:u w:val="none"/>
    </w:rPr>
  </w:style>
  <w:style w:type="paragraph" w:customStyle="1" w:styleId="BodyTextRight">
    <w:name w:val="Body Text Right"/>
    <w:basedOn w:val="BodyText"/>
    <w:rsid w:val="00C532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2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2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2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2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2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26A"/>
    <w:rPr>
      <w:sz w:val="32"/>
    </w:rPr>
  </w:style>
  <w:style w:type="paragraph" w:customStyle="1" w:styleId="HeadingProcedure">
    <w:name w:val="Heading Procedure"/>
    <w:basedOn w:val="HeadingBase"/>
    <w:next w:val="Normal"/>
    <w:rsid w:val="00C532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26A"/>
    <w:pPr>
      <w:spacing w:before="60" w:after="60"/>
    </w:pPr>
  </w:style>
  <w:style w:type="paragraph" w:styleId="ListContinue">
    <w:name w:val="List Continue"/>
    <w:basedOn w:val="List"/>
    <w:rsid w:val="00C5326A"/>
    <w:pPr>
      <w:ind w:firstLine="0"/>
    </w:pPr>
  </w:style>
  <w:style w:type="paragraph" w:customStyle="1" w:styleId="ListNote">
    <w:name w:val="List Note"/>
    <w:basedOn w:val="List"/>
    <w:rsid w:val="00C532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2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2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26A"/>
    <w:rPr>
      <w:rFonts w:ascii="Courier New" w:hAnsi="Courier New"/>
    </w:rPr>
  </w:style>
  <w:style w:type="paragraph" w:customStyle="1" w:styleId="NoteBullet">
    <w:name w:val="Note Bullet"/>
    <w:basedOn w:val="Note"/>
    <w:rsid w:val="00C532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2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2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2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2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32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2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26A"/>
    <w:rPr>
      <w:b/>
      <w:smallCaps/>
    </w:rPr>
  </w:style>
  <w:style w:type="paragraph" w:customStyle="1" w:styleId="TableListNumber">
    <w:name w:val="Table List Number"/>
    <w:basedOn w:val="ListNumber"/>
    <w:rsid w:val="00C532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2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26A"/>
    <w:pPr>
      <w:numPr>
        <w:numId w:val="8"/>
      </w:numPr>
    </w:pPr>
  </w:style>
  <w:style w:type="paragraph" w:customStyle="1" w:styleId="ListAlpha2">
    <w:name w:val="List Alpha 2"/>
    <w:basedOn w:val="List2"/>
    <w:rsid w:val="00C5326A"/>
    <w:pPr>
      <w:numPr>
        <w:numId w:val="7"/>
      </w:numPr>
    </w:pPr>
  </w:style>
  <w:style w:type="paragraph" w:styleId="List2">
    <w:name w:val="List 2"/>
    <w:basedOn w:val="BodyText"/>
    <w:rsid w:val="00C532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2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2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2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2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2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326A"/>
    <w:pPr>
      <w:numPr>
        <w:numId w:val="3"/>
      </w:numPr>
    </w:pPr>
  </w:style>
  <w:style w:type="paragraph" w:styleId="ListContinue2">
    <w:name w:val="List Continue 2"/>
    <w:basedOn w:val="List2"/>
    <w:rsid w:val="00C5326A"/>
    <w:pPr>
      <w:ind w:firstLine="0"/>
    </w:pPr>
  </w:style>
  <w:style w:type="paragraph" w:styleId="ListContinue3">
    <w:name w:val="List Continue 3"/>
    <w:basedOn w:val="List3"/>
    <w:rsid w:val="00C5326A"/>
    <w:pPr>
      <w:ind w:left="1021" w:firstLine="0"/>
    </w:pPr>
  </w:style>
  <w:style w:type="paragraph" w:styleId="ListContinue4">
    <w:name w:val="List Continue 4"/>
    <w:basedOn w:val="List4"/>
    <w:rsid w:val="00C5326A"/>
    <w:pPr>
      <w:ind w:firstLine="0"/>
    </w:pPr>
  </w:style>
  <w:style w:type="paragraph" w:styleId="ListContinue5">
    <w:name w:val="List Continue 5"/>
    <w:basedOn w:val="List5"/>
    <w:rsid w:val="00C5326A"/>
    <w:pPr>
      <w:ind w:firstLine="0"/>
    </w:pPr>
  </w:style>
  <w:style w:type="paragraph" w:styleId="ListNumber3">
    <w:name w:val="List Number 3"/>
    <w:basedOn w:val="List3"/>
    <w:rsid w:val="00C5326A"/>
    <w:pPr>
      <w:numPr>
        <w:numId w:val="4"/>
      </w:numPr>
    </w:pPr>
  </w:style>
  <w:style w:type="paragraph" w:styleId="ListNumber4">
    <w:name w:val="List Number 4"/>
    <w:basedOn w:val="List4"/>
    <w:rsid w:val="00C5326A"/>
    <w:pPr>
      <w:numPr>
        <w:numId w:val="5"/>
      </w:numPr>
    </w:pPr>
  </w:style>
  <w:style w:type="paragraph" w:styleId="ListNumber5">
    <w:name w:val="List Number 5"/>
    <w:basedOn w:val="List5"/>
    <w:rsid w:val="00C5326A"/>
    <w:pPr>
      <w:numPr>
        <w:numId w:val="6"/>
      </w:numPr>
    </w:pPr>
  </w:style>
  <w:style w:type="paragraph" w:styleId="BlockText">
    <w:name w:val="Block Text"/>
    <w:basedOn w:val="Normal"/>
    <w:rsid w:val="00C532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2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26A"/>
    <w:rPr>
      <w:sz w:val="16"/>
      <w:vertAlign w:val="superscript"/>
    </w:rPr>
  </w:style>
  <w:style w:type="character" w:customStyle="1" w:styleId="Symbols">
    <w:name w:val="Symbols"/>
    <w:basedOn w:val="DefaultParagraphFont"/>
    <w:rsid w:val="00C5326A"/>
    <w:rPr>
      <w:rFonts w:ascii="Symbol" w:hAnsi="Symbol"/>
    </w:rPr>
  </w:style>
  <w:style w:type="character" w:customStyle="1" w:styleId="MenuOptions">
    <w:name w:val="Menu Options"/>
    <w:basedOn w:val="DefaultParagraphFont"/>
    <w:rsid w:val="00C532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26A"/>
    <w:rPr>
      <w:b/>
    </w:rPr>
  </w:style>
  <w:style w:type="character" w:customStyle="1" w:styleId="Underlined">
    <w:name w:val="Underlined"/>
    <w:basedOn w:val="DefaultParagraphFont"/>
    <w:rsid w:val="00C5326A"/>
    <w:rPr>
      <w:u w:val="single"/>
    </w:rPr>
  </w:style>
  <w:style w:type="paragraph" w:customStyle="1" w:styleId="TableBodyTextRight">
    <w:name w:val="Table Body Text Right"/>
    <w:basedOn w:val="TableBodyText"/>
    <w:rsid w:val="00C532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26A"/>
    <w:rPr>
      <w:sz w:val="18"/>
    </w:rPr>
  </w:style>
  <w:style w:type="paragraph" w:customStyle="1" w:styleId="BodySmallRight">
    <w:name w:val="Body Small Right"/>
    <w:basedOn w:val="BodyTextRight"/>
    <w:rsid w:val="00C5326A"/>
    <w:rPr>
      <w:sz w:val="18"/>
      <w:szCs w:val="18"/>
    </w:rPr>
  </w:style>
  <w:style w:type="paragraph" w:customStyle="1" w:styleId="MarginEdition">
    <w:name w:val="Margin Edition"/>
    <w:basedOn w:val="MarginNote"/>
    <w:rsid w:val="00C532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26A"/>
    <w:rPr>
      <w:sz w:val="2"/>
      <w:szCs w:val="2"/>
    </w:rPr>
  </w:style>
  <w:style w:type="character" w:customStyle="1" w:styleId="Small">
    <w:name w:val="Small"/>
    <w:basedOn w:val="DefaultParagraphFont"/>
    <w:rsid w:val="00C5326A"/>
    <w:rPr>
      <w:sz w:val="16"/>
    </w:rPr>
  </w:style>
  <w:style w:type="paragraph" w:customStyle="1" w:styleId="WideTable">
    <w:name w:val="Wide Table"/>
    <w:basedOn w:val="Normal"/>
    <w:rsid w:val="00C532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26A"/>
  </w:style>
  <w:style w:type="paragraph" w:styleId="Quote">
    <w:name w:val="Quote"/>
    <w:basedOn w:val="Heading1"/>
    <w:link w:val="QuoteChar"/>
    <w:qFormat/>
    <w:rsid w:val="00C532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2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26A"/>
    <w:pPr>
      <w:pageBreakBefore/>
    </w:pPr>
  </w:style>
  <w:style w:type="paragraph" w:customStyle="1" w:styleId="Border">
    <w:name w:val="Border"/>
    <w:basedOn w:val="Normal"/>
    <w:qFormat/>
    <w:rsid w:val="00C532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2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2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2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2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2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2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2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2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26A"/>
    <w:rPr>
      <w:u w:val="single"/>
    </w:rPr>
  </w:style>
  <w:style w:type="character" w:customStyle="1" w:styleId="BoldandItalics">
    <w:name w:val="Bold and Italics"/>
    <w:qFormat/>
    <w:rsid w:val="00C5326A"/>
    <w:rPr>
      <w:b/>
      <w:i/>
      <w:u w:val="none"/>
    </w:rPr>
  </w:style>
  <w:style w:type="paragraph" w:styleId="BalloonText">
    <w:name w:val="Balloon Text"/>
    <w:basedOn w:val="Normal"/>
    <w:link w:val="BalloonTextChar"/>
    <w:rsid w:val="00C532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2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2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2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2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2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26A"/>
    <w:pPr>
      <w:spacing w:before="0" w:after="0"/>
    </w:pPr>
  </w:style>
  <w:style w:type="paragraph" w:customStyle="1" w:styleId="BodyTextBold">
    <w:name w:val="Body Text Bold"/>
    <w:basedOn w:val="BodyText"/>
    <w:qFormat/>
    <w:rsid w:val="00C5326A"/>
    <w:rPr>
      <w:b/>
    </w:rPr>
  </w:style>
  <w:style w:type="character" w:styleId="Hyperlink">
    <w:name w:val="Hyperlink"/>
    <w:basedOn w:val="DefaultParagraphFont"/>
    <w:uiPriority w:val="99"/>
    <w:unhideWhenUsed/>
    <w:rsid w:val="002D19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3263</Characters>
  <Application>Microsoft Office Word</Application>
  <DocSecurity>0</DocSecurity>
  <Lines>88</Lines>
  <Paragraphs>52</Paragraphs>
  <ScaleCrop>false</ScaleCrop>
  <Company>Author-it Software Corporation Ltd.</Company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MSFUP3015 Apply traditional foundations to upholstered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2022-12-21T05:34:00Z</dcterms:created>
  <dcterms:modified xsi:type="dcterms:W3CDTF">2022-12-21T05:34:00Z</dcterms:modified>
</cp:coreProperties>
</file>