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217E" w:rsidP="0035217E">
      <w:pPr>
        <w:pStyle w:val="Title"/>
      </w:pPr>
      <w:r>
        <w:fldChar w:fldCharType="begin"/>
      </w:r>
      <w:r>
        <w:instrText xml:space="preserve"> TITLE   \* MERGEFORMAT </w:instrText>
      </w:r>
      <w:r>
        <w:fldChar w:fldCharType="separate"/>
      </w:r>
      <w:r>
        <w:t>MSFUP3008 Apply finishing techniques to upholstered furniture</w:t>
      </w:r>
      <w:r>
        <w:fldChar w:fldCharType="end"/>
      </w:r>
    </w:p>
    <w:p w:rsidR="0035217E" w:rsidP="0035217E">
      <w:pPr>
        <w:pStyle w:val="Version"/>
        <w:sectPr w:rsidSect="00EB16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6E4" w:rsidP="00EB16E4">
      <w:pPr>
        <w:pStyle w:val="SuperHeading"/>
      </w:pPr>
      <w:r w:rsidRPr="00EB16E4">
        <w:t>MSFUP3008 Apply finishing techniques to upholstered furniture</w:t>
      </w:r>
    </w:p>
    <w:p w:rsidR="00000000" w:rsidRPr="00EB16E4" w:rsidP="00EB16E4">
      <w:pPr>
        <w:pStyle w:val="Heading1"/>
      </w:pPr>
      <w:bookmarkStart w:id="1" w:name="O_620725"/>
      <w:bookmarkEnd w:id="1"/>
      <w:r w:rsidRPr="00EB16E4">
        <w:t>Modification History</w:t>
      </w:r>
    </w:p>
    <w:p w:rsidR="00000000" w:rsidRPr="00EB16E4" w:rsidP="0035217E">
      <w:pPr>
        <w:pStyle w:val="BodyText"/>
      </w:pPr>
      <w:r w:rsidRPr="00EB16E4">
        <w:t>Release 1 - New unit of competency</w:t>
      </w:r>
    </w:p>
    <w:p w:rsidR="00000000" w:rsidRPr="00EB16E4" w:rsidP="00EB16E4">
      <w:pPr>
        <w:pStyle w:val="Heading1"/>
      </w:pPr>
      <w:bookmarkStart w:id="2" w:name="O_620726"/>
      <w:bookmarkEnd w:id="2"/>
      <w:r w:rsidRPr="00EB16E4">
        <w:t>Application</w:t>
      </w:r>
    </w:p>
    <w:p w:rsidR="00000000" w:rsidRPr="00EB16E4" w:rsidP="0035217E">
      <w:pPr>
        <w:pStyle w:val="BodyText"/>
      </w:pPr>
      <w:r w:rsidRPr="00EB16E4">
        <w:t>This unit of competency covers hand finishing upholstered furniture by the application of concealed and decorative finishing techniques.</w:t>
      </w:r>
    </w:p>
    <w:p w:rsidR="00000000" w:rsidRPr="00EB16E4" w:rsidP="0035217E">
      <w:pPr>
        <w:pStyle w:val="BodyText"/>
      </w:pPr>
      <w:r w:rsidRPr="00EB16E4">
        <w:t>No licensing, legislative or certification requirements apply to this unit at the time of publication.</w:t>
      </w:r>
    </w:p>
    <w:p w:rsidR="00000000" w:rsidRPr="00EB16E4" w:rsidP="00EB16E4">
      <w:pPr>
        <w:pStyle w:val="Heading1"/>
      </w:pPr>
      <w:bookmarkStart w:id="3" w:name="O_620727"/>
      <w:bookmarkEnd w:id="3"/>
      <w:r w:rsidRPr="00EB16E4">
        <w:t>Pre-requisite Unit</w:t>
      </w:r>
    </w:p>
    <w:p w:rsidR="00000000" w:rsidRPr="00EB16E4" w:rsidP="00EB16E4">
      <w:pPr>
        <w:pStyle w:val="Heading1"/>
      </w:pPr>
      <w:bookmarkStart w:id="4" w:name="O_620728"/>
      <w:bookmarkEnd w:id="4"/>
      <w:r w:rsidRPr="00EB16E4">
        <w:t>Competency Field</w:t>
      </w:r>
    </w:p>
    <w:p w:rsidR="00000000" w:rsidRPr="00EB16E4" w:rsidP="00EB16E4">
      <w:pPr>
        <w:pStyle w:val="Heading1"/>
      </w:pPr>
      <w:bookmarkStart w:id="5" w:name="O_620729"/>
      <w:bookmarkEnd w:id="5"/>
      <w:r w:rsidRPr="00EB16E4">
        <w:t>Unit Sector</w:t>
      </w:r>
    </w:p>
    <w:p w:rsidR="00000000" w:rsidRPr="00EB16E4" w:rsidP="0035217E">
      <w:pPr>
        <w:pStyle w:val="BodyText"/>
      </w:pPr>
      <w:r w:rsidRPr="00EB16E4">
        <w:t>Upholstery</w:t>
      </w:r>
    </w:p>
    <w:p w:rsidR="00000000" w:rsidRPr="00EB16E4" w:rsidP="00EB16E4">
      <w:pPr>
        <w:pStyle w:val="Heading1"/>
      </w:pPr>
      <w:bookmarkStart w:id="6" w:name="O_620730"/>
      <w:bookmarkEnd w:id="6"/>
      <w:r w:rsidRPr="00EB16E4">
        <w:t>Elements and Performance Cri</w:t>
      </w:r>
      <w:r w:rsidRPr="00EB16E4">
        <w:t>teria</w:t>
      </w:r>
    </w:p>
    <w:tbl>
      <w:tblPr>
        <w:tblW w:w="0" w:type="auto"/>
        <w:tblLayout w:type="fixed"/>
        <w:tblCellMar>
          <w:left w:w="62" w:type="dxa"/>
          <w:right w:w="62" w:type="dxa"/>
        </w:tblCellMar>
        <w:tblLook w:val="0000"/>
      </w:tblPr>
      <w:tblGrid>
        <w:gridCol w:w="630"/>
        <w:gridCol w:w="2129"/>
        <w:gridCol w:w="683"/>
        <w:gridCol w:w="5738"/>
      </w:tblGrid>
      <w:tr w:rsidTr="00EB16E4">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Elements describe the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Performance criteria describe the performance needed to demonstrate achievement of the element.</w:t>
            </w:r>
          </w:p>
        </w:tc>
      </w:tr>
      <w:tr w:rsidTr="00EB16E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1</w:t>
            </w:r>
          </w:p>
        </w:tc>
        <w:tc>
          <w:tcPr>
            <w:tcW w:w="2129"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Prepare for work</w:t>
            </w:r>
          </w:p>
        </w:tc>
        <w:tc>
          <w:tcPr>
            <w:tcW w:w="683"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1.1</w:t>
            </w:r>
          </w:p>
        </w:tc>
        <w:tc>
          <w:tcPr>
            <w:tcW w:w="5738"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Job requirement is identified from work order or other instructions, including any special requirements for finishing</w:t>
            </w:r>
          </w:p>
        </w:tc>
      </w:tr>
      <w:tr w:rsidTr="00EB16E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1.2</w:t>
            </w:r>
          </w:p>
        </w:tc>
        <w:tc>
          <w:tcPr>
            <w:tcW w:w="5738"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Required materials, upholstered components to be finished, and appropriate tools and equipment are identified from work order</w:t>
            </w:r>
          </w:p>
        </w:tc>
      </w:tr>
      <w:tr w:rsidTr="00EB16E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1.</w:t>
            </w:r>
            <w:r w:rsidRPr="00EB16E4">
              <w:t>3</w:t>
            </w:r>
          </w:p>
        </w:tc>
        <w:tc>
          <w:tcPr>
            <w:tcW w:w="5738"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Work health and safety (WHS) requirements, including personal protection needs, are observed throughout the work</w:t>
            </w:r>
          </w:p>
        </w:tc>
      </w:tr>
      <w:tr w:rsidTr="00EB16E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1.4</w:t>
            </w:r>
          </w:p>
        </w:tc>
        <w:tc>
          <w:tcPr>
            <w:tcW w:w="5738"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Items to be finished are assembled in an appropriate work area and inspected for appropriate quality</w:t>
            </w:r>
          </w:p>
        </w:tc>
      </w:tr>
      <w:tr w:rsidTr="00EB16E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1.5</w:t>
            </w:r>
          </w:p>
        </w:tc>
        <w:tc>
          <w:tcPr>
            <w:tcW w:w="5738"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 xml:space="preserve">Appropriate tools, equipment and finishing materials and </w:t>
            </w:r>
            <w:r w:rsidRPr="00EB16E4">
              <w:t>hardware are selected</w:t>
            </w:r>
          </w:p>
        </w:tc>
      </w:tr>
      <w:tr w:rsidTr="00EB16E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2</w:t>
            </w:r>
          </w:p>
        </w:tc>
        <w:tc>
          <w:tcPr>
            <w:tcW w:w="2129"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Apply finishing techniques</w:t>
            </w:r>
          </w:p>
        </w:tc>
        <w:tc>
          <w:tcPr>
            <w:tcW w:w="683"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2.1</w:t>
            </w:r>
          </w:p>
        </w:tc>
        <w:tc>
          <w:tcPr>
            <w:tcW w:w="5738"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Finishing techniques are applied in accordance with workplace procedures</w:t>
            </w:r>
          </w:p>
        </w:tc>
      </w:tr>
      <w:tr w:rsidTr="00EB16E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2.2</w:t>
            </w:r>
          </w:p>
        </w:tc>
        <w:tc>
          <w:tcPr>
            <w:tcW w:w="5738"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Problems are notified following workplace procedures</w:t>
            </w:r>
          </w:p>
        </w:tc>
      </w:tr>
      <w:tr w:rsidTr="00EB16E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2.3</w:t>
            </w:r>
          </w:p>
        </w:tc>
        <w:tc>
          <w:tcPr>
            <w:tcW w:w="5738"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Finished upholstered item is inspected against work requirement with unsatisfactory finish being redirected for re-working</w:t>
            </w:r>
          </w:p>
        </w:tc>
      </w:tr>
      <w:tr w:rsidTr="00EB16E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3</w:t>
            </w:r>
          </w:p>
        </w:tc>
        <w:tc>
          <w:tcPr>
            <w:tcW w:w="2129"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Complete work</w:t>
            </w:r>
          </w:p>
        </w:tc>
        <w:tc>
          <w:tcPr>
            <w:tcW w:w="683"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3.1</w:t>
            </w:r>
          </w:p>
        </w:tc>
        <w:tc>
          <w:tcPr>
            <w:tcW w:w="5738"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Finished work is package/stored/tagged and despatched to the next process following workplace procedures</w:t>
            </w:r>
          </w:p>
        </w:tc>
      </w:tr>
      <w:tr w:rsidTr="00EB16E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3.2</w:t>
            </w:r>
          </w:p>
        </w:tc>
        <w:tc>
          <w:tcPr>
            <w:tcW w:w="5738"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Any required documentation is completed and processed following workplace procedures</w:t>
            </w:r>
          </w:p>
        </w:tc>
      </w:tr>
      <w:tr w:rsidTr="00EB16E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3.3</w:t>
            </w:r>
          </w:p>
        </w:tc>
        <w:tc>
          <w:tcPr>
            <w:tcW w:w="5738"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Tools and equipment used are cleaned, maintained as required and stored in accordance with workplace procedures</w:t>
            </w:r>
          </w:p>
        </w:tc>
      </w:tr>
      <w:tr w:rsidTr="00EB16E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3.4</w:t>
            </w:r>
          </w:p>
        </w:tc>
        <w:tc>
          <w:tcPr>
            <w:tcW w:w="5738" w:type="dxa"/>
            <w:tcBorders>
              <w:top w:val="nil"/>
              <w:left w:val="nil"/>
              <w:bottom w:val="nil"/>
              <w:right w:val="nil"/>
            </w:tcBorders>
            <w:tcMar>
              <w:top w:w="0" w:type="dxa"/>
              <w:left w:w="62" w:type="dxa"/>
              <w:bottom w:w="0" w:type="dxa"/>
              <w:right w:w="62" w:type="dxa"/>
            </w:tcMar>
          </w:tcPr>
          <w:p w:rsidR="00000000" w:rsidRPr="00EB16E4" w:rsidP="00EB16E4">
            <w:pPr>
              <w:pStyle w:val="BodyText"/>
            </w:pPr>
            <w:r w:rsidRPr="00EB16E4">
              <w:t>Work area is cleaned with waste and scrap bei</w:t>
            </w:r>
            <w:r w:rsidRPr="00EB16E4">
              <w:t>ng removed/recycled in accordance with workplace procedures</w:t>
            </w:r>
          </w:p>
        </w:tc>
      </w:tr>
    </w:tbl>
    <w:p w:rsidR="00000000" w:rsidRPr="00EB16E4" w:rsidP="00EB16E4">
      <w:pPr>
        <w:pStyle w:val="BodyText"/>
      </w:pPr>
    </w:p>
    <w:p w:rsidR="00000000" w:rsidRPr="00EB16E4" w:rsidP="00EB16E4">
      <w:pPr>
        <w:pStyle w:val="AllowPageBreak"/>
      </w:pPr>
    </w:p>
    <w:p w:rsidR="00000000" w:rsidRPr="00EB16E4" w:rsidP="00EB16E4">
      <w:pPr>
        <w:pStyle w:val="Heading1"/>
      </w:pPr>
      <w:bookmarkStart w:id="7" w:name="O_620731"/>
      <w:bookmarkEnd w:id="7"/>
      <w:r w:rsidRPr="00EB16E4">
        <w:t>Foundation Skills</w:t>
      </w:r>
    </w:p>
    <w:p w:rsidR="00000000" w:rsidRPr="00EB16E4" w:rsidP="0035217E">
      <w:pPr>
        <w:pStyle w:val="BodyText"/>
      </w:pPr>
      <w:r w:rsidRPr="00EB16E4">
        <w:t xml:space="preserve">Foundation skills essential to performance are explicit in the performance criteria of this unit of competency. Detail on appropriate performance levels </w:t>
      </w:r>
      <w:r w:rsidRPr="00EB16E4">
        <w:t>for each furnishing unit of competency in reading, writing, oral communication and numeracy utilising the Australian Core Skills Framework (ACSF) are provided in the Furnishing Training Package Implementation Guide.</w:t>
      </w:r>
    </w:p>
    <w:p w:rsidR="00000000" w:rsidRPr="00EB16E4" w:rsidP="00EB16E4">
      <w:pPr>
        <w:pStyle w:val="Heading1"/>
      </w:pPr>
      <w:bookmarkStart w:id="8" w:name="O_620732"/>
      <w:bookmarkEnd w:id="8"/>
      <w:r w:rsidRPr="00EB16E4">
        <w:t>Range of Conditions</w:t>
      </w:r>
    </w:p>
    <w:tbl>
      <w:tblPr>
        <w:tblW w:w="0" w:type="auto"/>
        <w:tblLayout w:type="fixed"/>
        <w:tblCellMar>
          <w:left w:w="62" w:type="dxa"/>
          <w:right w:w="62" w:type="dxa"/>
        </w:tblCellMar>
        <w:tblLook w:val="0000"/>
      </w:tblPr>
      <w:tblGrid>
        <w:gridCol w:w="2760"/>
        <w:gridCol w:w="6312"/>
      </w:tblGrid>
      <w:tr w:rsidTr="00EB16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t>Spe</w:t>
            </w:r>
            <w:r w:rsidRPr="00EB16E4">
              <w:t>cifies different work environments and conditions that may affect performance. Essential operating conditions that may be present (depending on the work situation, needs of the candidate, accessibility of the item, and local industry and regional contexts)</w:t>
            </w:r>
            <w:r w:rsidRPr="00EB16E4">
              <w:t xml:space="preserve"> are included. Range is restricted to essential operating conditions and any other variables essential to the work environment.</w:t>
            </w:r>
          </w:p>
        </w:tc>
      </w:tr>
      <w:tr w:rsidTr="00EB16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B16E4" w:rsidP="00EB16E4">
            <w:pPr>
              <w:pStyle w:val="ListBullet"/>
            </w:pPr>
            <w:r w:rsidRPr="00EB16E4">
              <w:t>WHS requirements, including legislation, building codes, material safety management systems, hazardous</w:t>
            </w:r>
            <w:r w:rsidRPr="00EB16E4">
              <w:t xml:space="preserve"> and dangerous goods codes, and local safe operating procedures or equivalent </w:t>
            </w:r>
          </w:p>
          <w:p w:rsidR="00000000" w:rsidRPr="00EB16E4" w:rsidP="00EB16E4">
            <w:pPr>
              <w:pStyle w:val="ListBullet"/>
            </w:pPr>
            <w:r w:rsidRPr="00EB16E4">
              <w:t xml:space="preserve">work is carried out in accordance with legislative </w:t>
            </w:r>
            <w:r w:rsidRPr="00EB16E4">
              <w:t>obligations, environmental legislation, relevant health regulations, manual handling procedures and organisation insurance re</w:t>
            </w:r>
            <w:r w:rsidRPr="00EB16E4">
              <w:t>quirements</w:t>
            </w:r>
          </w:p>
          <w:p w:rsidR="00000000" w:rsidP="00EB16E4">
            <w:pPr>
              <w:pStyle w:val="ListBullet"/>
              <w:rPr>
                <w:lang w:val="en-NZ"/>
              </w:rPr>
            </w:pPr>
            <w:r w:rsidRPr="00EB16E4">
              <w:t xml:space="preserve">work requires individuals to demonstrate some discretion, judgement and problem solving </w:t>
            </w:r>
          </w:p>
        </w:tc>
      </w:tr>
      <w:tr w:rsidTr="00EB16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B16E4" w:rsidP="00EB16E4">
            <w:pPr>
              <w:pStyle w:val="BodyText"/>
            </w:pPr>
            <w:r w:rsidRPr="00EB16E4">
              <w:rPr>
                <w:rStyle w:val="SpecialBold"/>
              </w:rPr>
              <w:t>Finishing techniques include:</w:t>
            </w:r>
          </w:p>
          <w:p w:rsidR="00000000" w:rsidP="00EB16E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B16E4" w:rsidP="00EB16E4">
            <w:pPr>
              <w:pStyle w:val="ListBullet"/>
            </w:pPr>
            <w:r w:rsidRPr="00EB16E4">
              <w:t>decorative techniques:</w:t>
            </w:r>
          </w:p>
          <w:p w:rsidR="00000000" w:rsidRPr="00EB16E4" w:rsidP="00EB16E4">
            <w:pPr>
              <w:pStyle w:val="ListBullet2"/>
            </w:pPr>
            <w:r w:rsidRPr="00EB16E4">
              <w:t xml:space="preserve">braiding </w:t>
            </w:r>
          </w:p>
          <w:p w:rsidR="00000000" w:rsidRPr="00EB16E4" w:rsidP="00EB16E4">
            <w:pPr>
              <w:pStyle w:val="ListBullet2"/>
            </w:pPr>
            <w:r w:rsidRPr="00EB16E4">
              <w:t xml:space="preserve">gimping </w:t>
            </w:r>
          </w:p>
          <w:p w:rsidR="00000000" w:rsidRPr="00EB16E4" w:rsidP="00EB16E4">
            <w:pPr>
              <w:pStyle w:val="ListBullet2"/>
            </w:pPr>
            <w:r w:rsidRPr="00EB16E4">
              <w:t xml:space="preserve">close and open studding </w:t>
            </w:r>
          </w:p>
          <w:p w:rsidR="00000000" w:rsidRPr="00EB16E4" w:rsidP="00EB16E4">
            <w:pPr>
              <w:pStyle w:val="ListBullet2"/>
            </w:pPr>
            <w:r w:rsidRPr="00EB16E4">
              <w:t xml:space="preserve">single and double piping and banding </w:t>
            </w:r>
          </w:p>
          <w:p w:rsidR="00000000" w:rsidRPr="00EB16E4" w:rsidP="00EB16E4">
            <w:pPr>
              <w:pStyle w:val="ListBullet"/>
            </w:pPr>
            <w:r w:rsidRPr="00EB16E4">
              <w:t xml:space="preserve">concealed techniques: </w:t>
            </w:r>
          </w:p>
          <w:p w:rsidR="00000000" w:rsidRPr="00EB16E4" w:rsidP="00EB16E4">
            <w:pPr>
              <w:pStyle w:val="ListBullet2"/>
            </w:pPr>
            <w:r w:rsidRPr="00EB16E4">
              <w:t xml:space="preserve">straight edge </w:t>
            </w:r>
          </w:p>
          <w:p w:rsidR="00000000" w:rsidRPr="00EB16E4" w:rsidP="00EB16E4">
            <w:pPr>
              <w:pStyle w:val="ListBullet2"/>
            </w:pPr>
            <w:r w:rsidRPr="00EB16E4">
              <w:t>shark</w:t>
            </w:r>
            <w:r>
              <w:t>’</w:t>
            </w:r>
            <w:r w:rsidRPr="00EB16E4">
              <w:t xml:space="preserve">s teeth </w:t>
            </w:r>
          </w:p>
          <w:p w:rsidR="00000000" w:rsidRPr="00EB16E4" w:rsidP="00EB16E4">
            <w:pPr>
              <w:pStyle w:val="ListBullet"/>
            </w:pPr>
            <w:r w:rsidRPr="00EB16E4">
              <w:t>hand sewing techniques, which may be used in both decorative and concealed finishing:</w:t>
            </w:r>
          </w:p>
          <w:p w:rsidR="00000000" w:rsidRPr="00EB16E4" w:rsidP="00EB16E4">
            <w:pPr>
              <w:pStyle w:val="ListBullet2"/>
            </w:pPr>
            <w:r w:rsidRPr="00EB16E4">
              <w:t xml:space="preserve">flange cord </w:t>
            </w:r>
          </w:p>
          <w:p w:rsidR="00000000" w:rsidRPr="00EB16E4" w:rsidP="00EB16E4">
            <w:pPr>
              <w:pStyle w:val="ListBullet2"/>
            </w:pPr>
            <w:r w:rsidRPr="00EB16E4">
              <w:t xml:space="preserve">cord and ruching </w:t>
            </w:r>
          </w:p>
          <w:p w:rsidR="00000000" w:rsidRPr="00EB16E4" w:rsidP="00EB16E4">
            <w:pPr>
              <w:pStyle w:val="ListBullet2"/>
            </w:pPr>
            <w:r w:rsidRPr="00EB16E4">
              <w:t xml:space="preserve">the closure of items, such as cushions </w:t>
            </w:r>
          </w:p>
          <w:p w:rsidR="00000000" w:rsidP="00EB16E4">
            <w:pPr>
              <w:pStyle w:val="ListBullet2"/>
              <w:rPr>
                <w:lang w:val="en-NZ"/>
              </w:rPr>
            </w:pPr>
            <w:r w:rsidRPr="00EB16E4">
              <w:t xml:space="preserve">external backs of upholstered furnishings </w:t>
            </w:r>
          </w:p>
        </w:tc>
      </w:tr>
      <w:tr w:rsidTr="00EB16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B16E4" w:rsidP="00EB16E4">
            <w:pPr>
              <w:pStyle w:val="BodyText"/>
            </w:pPr>
            <w:r w:rsidRPr="00EB16E4">
              <w:rPr>
                <w:rStyle w:val="SpecialBold"/>
              </w:rPr>
              <w:t>Tools and equipment include:</w:t>
            </w:r>
          </w:p>
          <w:p w:rsidR="00000000" w:rsidP="00EB16E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B16E4" w:rsidP="00EB16E4">
            <w:pPr>
              <w:pStyle w:val="ListBullet"/>
            </w:pPr>
            <w:r w:rsidRPr="00EB16E4">
              <w:t>a range of needles and threads</w:t>
            </w:r>
          </w:p>
          <w:p w:rsidR="00000000" w:rsidRPr="00EB16E4" w:rsidP="00EB16E4">
            <w:pPr>
              <w:pStyle w:val="ListBullet"/>
            </w:pPr>
            <w:r w:rsidRPr="00EB16E4">
              <w:t>tack hammers</w:t>
            </w:r>
          </w:p>
          <w:p w:rsidR="00000000" w:rsidP="00EB16E4">
            <w:pPr>
              <w:pStyle w:val="ListBullet"/>
              <w:rPr>
                <w:lang w:val="en-NZ"/>
              </w:rPr>
            </w:pPr>
            <w:r w:rsidRPr="00EB16E4">
              <w:t>hammers and hot melt glue gun</w:t>
            </w:r>
          </w:p>
        </w:tc>
      </w:tr>
      <w:tr w:rsidTr="00EB16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B16E4" w:rsidP="00EB16E4">
            <w:pPr>
              <w:pStyle w:val="BodyText"/>
            </w:pPr>
            <w:r w:rsidRPr="00EB16E4">
              <w:rPr>
                <w:rStyle w:val="SpecialBold"/>
              </w:rPr>
              <w:t>Materials include:</w:t>
            </w:r>
          </w:p>
          <w:p w:rsidR="00000000" w:rsidP="00EB16E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B16E4" w:rsidP="00EB16E4">
            <w:pPr>
              <w:pStyle w:val="ListBullet"/>
            </w:pPr>
            <w:r w:rsidRPr="00EB16E4">
              <w:t>fabrics</w:t>
            </w:r>
          </w:p>
          <w:p w:rsidR="00000000" w:rsidRPr="00EB16E4" w:rsidP="00EB16E4">
            <w:pPr>
              <w:pStyle w:val="ListBullet"/>
            </w:pPr>
            <w:r w:rsidRPr="00EB16E4">
              <w:t>leather</w:t>
            </w:r>
          </w:p>
          <w:p w:rsidR="00000000" w:rsidRPr="00EB16E4" w:rsidP="00EB16E4">
            <w:pPr>
              <w:pStyle w:val="ListBullet"/>
            </w:pPr>
            <w:r w:rsidRPr="00EB16E4">
              <w:t>upholstery nails</w:t>
            </w:r>
          </w:p>
          <w:p w:rsidR="00000000" w:rsidRPr="00EB16E4" w:rsidP="00EB16E4">
            <w:pPr>
              <w:pStyle w:val="ListBullet"/>
            </w:pPr>
            <w:r w:rsidRPr="00EB16E4">
              <w:t>gimping</w:t>
            </w:r>
          </w:p>
          <w:p w:rsidR="00000000" w:rsidRPr="00EB16E4" w:rsidP="00EB16E4">
            <w:pPr>
              <w:pStyle w:val="ListBullet"/>
            </w:pPr>
            <w:r w:rsidRPr="00EB16E4">
              <w:t>metal trim</w:t>
            </w:r>
          </w:p>
          <w:p w:rsidR="00000000" w:rsidP="00EB16E4">
            <w:pPr>
              <w:pStyle w:val="ListBullet"/>
              <w:rPr>
                <w:lang w:val="en-NZ"/>
              </w:rPr>
            </w:pPr>
            <w:r w:rsidRPr="00EB16E4">
              <w:t>piping and vinyl</w:t>
            </w:r>
          </w:p>
        </w:tc>
      </w:tr>
      <w:tr w:rsidTr="00EB16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B16E4" w:rsidP="00EB16E4">
            <w:pPr>
              <w:pStyle w:val="BodyText"/>
            </w:pPr>
            <w:r w:rsidRPr="00EB16E4">
              <w:rPr>
                <w:rStyle w:val="SpecialBold"/>
              </w:rPr>
              <w:t>Personal protective equipment includes:</w:t>
            </w:r>
          </w:p>
          <w:p w:rsidR="00000000" w:rsidP="00EB16E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B16E4" w:rsidP="00EB16E4">
            <w:pPr>
              <w:pStyle w:val="ListBullet"/>
            </w:pPr>
            <w:r w:rsidRPr="00EB16E4">
              <w:t>that prescribed under legislation, regulations and enterprise policies and practices:</w:t>
            </w:r>
          </w:p>
          <w:p w:rsidR="00000000" w:rsidRPr="00EB16E4" w:rsidP="00EB16E4">
            <w:pPr>
              <w:pStyle w:val="ListBullet2"/>
            </w:pPr>
            <w:r w:rsidRPr="00EB16E4">
              <w:t>safety glasses/goggle</w:t>
            </w:r>
          </w:p>
          <w:p w:rsidR="00000000" w:rsidRPr="00EB16E4" w:rsidP="00EB16E4">
            <w:pPr>
              <w:pStyle w:val="ListBullet2"/>
            </w:pPr>
            <w:r w:rsidRPr="00EB16E4">
              <w:t>hair nets</w:t>
            </w:r>
          </w:p>
          <w:p w:rsidR="00000000" w:rsidRPr="00EB16E4" w:rsidP="00EB16E4">
            <w:pPr>
              <w:pStyle w:val="ListBullet2"/>
            </w:pPr>
            <w:r w:rsidRPr="00EB16E4">
              <w:t>ear muffs/plugs</w:t>
            </w:r>
          </w:p>
          <w:p w:rsidR="00000000" w:rsidRPr="00EB16E4" w:rsidP="00EB16E4">
            <w:pPr>
              <w:pStyle w:val="ListBullet2"/>
            </w:pPr>
            <w:r w:rsidRPr="00EB16E4">
              <w:t>gloves</w:t>
            </w:r>
          </w:p>
          <w:p w:rsidR="00000000" w:rsidP="00EB16E4">
            <w:pPr>
              <w:pStyle w:val="ListBullet2"/>
              <w:rPr>
                <w:lang w:val="en-NZ"/>
              </w:rPr>
            </w:pPr>
            <w:r w:rsidRPr="00EB16E4">
              <w:t>footwear and protective clothing</w:t>
            </w:r>
          </w:p>
        </w:tc>
      </w:tr>
      <w:tr w:rsidTr="00EB16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B16E4">
            <w:pPr>
              <w:pStyle w:val="BodyText"/>
              <w:rPr>
                <w:lang w:val="en-NZ"/>
              </w:rPr>
            </w:pPr>
            <w:r w:rsidRPr="00EB16E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EB16E4" w:rsidP="00EB16E4">
            <w:pPr>
              <w:pStyle w:val="ListBullet"/>
            </w:pPr>
            <w:r w:rsidRPr="00EB16E4">
              <w:t xml:space="preserve">workplace procedures relating to the use of tools and equipment </w:t>
            </w:r>
          </w:p>
          <w:p w:rsidR="00000000" w:rsidRPr="00EB16E4" w:rsidP="00EB16E4">
            <w:pPr>
              <w:pStyle w:val="ListBullet"/>
            </w:pPr>
            <w:r w:rsidRPr="00EB16E4">
              <w:t xml:space="preserve">work instructions, including job sheets, cutting lists, plans, drawings and designs </w:t>
            </w:r>
          </w:p>
          <w:p w:rsidR="00000000" w:rsidRPr="00EB16E4" w:rsidP="00EB16E4">
            <w:pPr>
              <w:pStyle w:val="ListBullet"/>
            </w:pPr>
            <w:r w:rsidRPr="00EB16E4">
              <w:t xml:space="preserve">workplace procedures relating to reporting and communication </w:t>
            </w:r>
          </w:p>
          <w:p w:rsidR="00000000" w:rsidRPr="00EB16E4" w:rsidP="00EB16E4">
            <w:pPr>
              <w:pStyle w:val="ListBullet"/>
            </w:pPr>
            <w:r w:rsidRPr="00EB16E4">
              <w:t xml:space="preserve">manufacturer specifications and operational </w:t>
            </w:r>
            <w:r w:rsidRPr="00EB16E4">
              <w:t>procedures</w:t>
            </w:r>
          </w:p>
        </w:tc>
      </w:tr>
    </w:tbl>
    <w:p w:rsidR="00000000" w:rsidRPr="00EB16E4" w:rsidP="00EB16E4">
      <w:pPr>
        <w:pStyle w:val="BodyText"/>
      </w:pPr>
    </w:p>
    <w:p w:rsidR="00000000" w:rsidRPr="00EB16E4" w:rsidP="00EB16E4">
      <w:pPr>
        <w:pStyle w:val="AllowPageBreak"/>
      </w:pPr>
    </w:p>
    <w:p w:rsidR="00000000" w:rsidRPr="00EB16E4" w:rsidP="00EB16E4">
      <w:pPr>
        <w:pStyle w:val="Heading1"/>
      </w:pPr>
      <w:bookmarkStart w:id="9" w:name="O_620733"/>
      <w:bookmarkEnd w:id="9"/>
      <w:r w:rsidRPr="00EB16E4">
        <w:t>Unit Mapping Information</w:t>
      </w:r>
    </w:p>
    <w:p w:rsidR="00000000" w:rsidRPr="00EB16E4" w:rsidP="0035217E">
      <w:pPr>
        <w:pStyle w:val="BodyText"/>
      </w:pPr>
      <w:r w:rsidRPr="00EB16E4">
        <w:t>Supersedes and is equivalent to LMFUP3008B Apply finishing techniques to upholstered furniture.</w:t>
      </w:r>
    </w:p>
    <w:p w:rsidR="00000000" w:rsidRPr="00EB16E4" w:rsidP="00EB16E4">
      <w:pPr>
        <w:pStyle w:val="Heading1"/>
      </w:pPr>
      <w:bookmarkStart w:id="10" w:name="O_620740"/>
      <w:bookmarkEnd w:id="10"/>
      <w:r w:rsidRPr="00EB16E4">
        <w:t>Links</w:t>
      </w:r>
    </w:p>
    <w:p w:rsidR="00000000" w:rsidRPr="00EB16E4" w:rsidP="0035217E">
      <w:pPr>
        <w:pStyle w:val="BodyText"/>
      </w:pPr>
      <w:r w:rsidRPr="00EB16E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3359B">
        <w:rPr>
          <w:rStyle w:val="Hyperlink"/>
        </w:rPr>
        <w:t>https://vetnet.gov.au/Pages/TrainingDocs.aspx?q=0601ab95-583a-4e93-b2d4-cfb27b03ed73</w:t>
      </w:r>
      <w:r>
        <w:fldChar w:fldCharType="end"/>
      </w:r>
    </w:p>
    <w:p w:rsidR="00000000" w:rsidRPr="00EB16E4" w:rsidP="00EB16E4"/>
    <w:sectPr w:rsidSect="00EB16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6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6E4" w:rsidRPr="0035217E" w:rsidP="003521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6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17E" w:rsidP="00EB16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217E" w:rsidP="00EB16E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217E" w:rsidP="00EB16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6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1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16E4" w:rsidRPr="0035217E" w:rsidP="003521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6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17E" w:rsidRPr="002D2AF8" w:rsidP="00EB16E4">
    <w:pPr>
      <w:pStyle w:val="Header"/>
      <w:framePr w:wrap="around"/>
    </w:pPr>
    <w:r>
      <w:fldChar w:fldCharType="begin"/>
    </w:r>
    <w:r>
      <w:instrText xml:space="preserve"> TITLE   \* MERGEFORMAT </w:instrText>
    </w:r>
    <w:r>
      <w:fldChar w:fldCharType="separate"/>
    </w:r>
    <w:r>
      <w:t>MSFUP3008 Apply finishing techniques to upholstered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35217E" w:rsidP="00EB16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460F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A847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3E02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6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16E4"/>
    <w:pPr>
      <w:spacing w:before="360" w:after="60"/>
      <w:outlineLvl w:val="0"/>
    </w:pPr>
    <w:rPr>
      <w:sz w:val="32"/>
    </w:rPr>
  </w:style>
  <w:style w:type="paragraph" w:styleId="Heading2">
    <w:name w:val="heading 2"/>
    <w:basedOn w:val="HeadingBase"/>
    <w:next w:val="BodyText"/>
    <w:link w:val="Heading2Char"/>
    <w:qFormat/>
    <w:rsid w:val="00EB16E4"/>
    <w:pPr>
      <w:keepLines/>
      <w:spacing w:before="240" w:after="120"/>
      <w:outlineLvl w:val="1"/>
    </w:pPr>
    <w:rPr>
      <w:sz w:val="28"/>
      <w:szCs w:val="40"/>
    </w:rPr>
  </w:style>
  <w:style w:type="paragraph" w:styleId="Heading3">
    <w:name w:val="heading 3"/>
    <w:basedOn w:val="HeadingBase"/>
    <w:next w:val="BodyText"/>
    <w:link w:val="Heading3Char"/>
    <w:qFormat/>
    <w:rsid w:val="00EB16E4"/>
    <w:pPr>
      <w:spacing w:before="180" w:after="120"/>
      <w:outlineLvl w:val="2"/>
    </w:pPr>
    <w:rPr>
      <w:spacing w:val="-10"/>
      <w:kern w:val="32"/>
    </w:rPr>
  </w:style>
  <w:style w:type="paragraph" w:styleId="Heading4">
    <w:name w:val="heading 4"/>
    <w:basedOn w:val="HeadingBase"/>
    <w:next w:val="BodyText"/>
    <w:link w:val="Heading4Char"/>
    <w:qFormat/>
    <w:rsid w:val="00EB16E4"/>
    <w:pPr>
      <w:spacing w:before="160" w:after="120"/>
      <w:outlineLvl w:val="3"/>
    </w:pPr>
    <w:rPr>
      <w:sz w:val="22"/>
    </w:rPr>
  </w:style>
  <w:style w:type="paragraph" w:styleId="Heading5">
    <w:name w:val="heading 5"/>
    <w:basedOn w:val="HeadingBase"/>
    <w:next w:val="Normal"/>
    <w:link w:val="Heading5Char"/>
    <w:qFormat/>
    <w:rsid w:val="00EB16E4"/>
    <w:pPr>
      <w:spacing w:before="80"/>
      <w:outlineLvl w:val="4"/>
    </w:pPr>
    <w:rPr>
      <w:color w:val="918585"/>
      <w:sz w:val="20"/>
    </w:rPr>
  </w:style>
  <w:style w:type="paragraph" w:styleId="Heading6">
    <w:name w:val="heading 6"/>
    <w:basedOn w:val="HeadingBase"/>
    <w:next w:val="Normal"/>
    <w:link w:val="Heading6Char"/>
    <w:qFormat/>
    <w:rsid w:val="00EB16E4"/>
    <w:pPr>
      <w:spacing w:before="60"/>
      <w:outlineLvl w:val="5"/>
    </w:pPr>
    <w:rPr>
      <w:color w:val="918585"/>
      <w:sz w:val="20"/>
    </w:rPr>
  </w:style>
  <w:style w:type="paragraph" w:styleId="Heading7">
    <w:name w:val="heading 7"/>
    <w:basedOn w:val="Normal"/>
    <w:next w:val="Normal"/>
    <w:link w:val="Heading7Char"/>
    <w:qFormat/>
    <w:rsid w:val="00EB16E4"/>
    <w:pPr>
      <w:ind w:left="720"/>
      <w:outlineLvl w:val="6"/>
    </w:pPr>
    <w:rPr>
      <w:i/>
    </w:rPr>
  </w:style>
  <w:style w:type="paragraph" w:styleId="Heading8">
    <w:name w:val="heading 8"/>
    <w:basedOn w:val="Normal"/>
    <w:next w:val="Normal"/>
    <w:link w:val="Heading8Char"/>
    <w:qFormat/>
    <w:rsid w:val="00EB16E4"/>
    <w:pPr>
      <w:ind w:left="720"/>
      <w:outlineLvl w:val="7"/>
    </w:pPr>
    <w:rPr>
      <w:i/>
    </w:rPr>
  </w:style>
  <w:style w:type="paragraph" w:styleId="Heading9">
    <w:name w:val="heading 9"/>
    <w:basedOn w:val="Normal"/>
    <w:next w:val="Normal"/>
    <w:link w:val="Heading9Char"/>
    <w:qFormat/>
    <w:rsid w:val="00EB16E4"/>
    <w:pPr>
      <w:ind w:left="720"/>
      <w:outlineLvl w:val="8"/>
    </w:pPr>
    <w:rPr>
      <w:i/>
    </w:rPr>
  </w:style>
  <w:style w:type="character" w:default="1" w:styleId="DefaultParagraphFont">
    <w:name w:val="Default Paragraph Font"/>
    <w:uiPriority w:val="1"/>
    <w:unhideWhenUsed/>
    <w:rsid w:val="00EB16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6E4"/>
  </w:style>
  <w:style w:type="character" w:customStyle="1" w:styleId="Heading1Char">
    <w:name w:val="Heading 1 Char"/>
    <w:basedOn w:val="DefaultParagraphFont"/>
    <w:link w:val="Heading1"/>
    <w:rsid w:val="00EB16E4"/>
    <w:rPr>
      <w:rFonts w:ascii="Times New Roman" w:eastAsia="Times New Roman" w:hAnsi="Times New Roman" w:cs="Times New Roman"/>
      <w:b/>
      <w:sz w:val="32"/>
      <w:szCs w:val="20"/>
      <w:lang w:eastAsia="en-US"/>
    </w:rPr>
  </w:style>
  <w:style w:type="paragraph" w:styleId="BodyText">
    <w:name w:val="Body Text"/>
    <w:basedOn w:val="Normal"/>
    <w:link w:val="BodyTextChar"/>
    <w:rsid w:val="00EB16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16E4"/>
    <w:rPr>
      <w:rFonts w:ascii="Times New Roman" w:eastAsia="Times New Roman" w:hAnsi="Times New Roman" w:cs="Times New Roman"/>
      <w:sz w:val="24"/>
      <w:lang w:eastAsia="en-US"/>
    </w:rPr>
  </w:style>
  <w:style w:type="paragraph" w:styleId="ListBullet">
    <w:name w:val="List Bullet"/>
    <w:basedOn w:val="List"/>
    <w:rsid w:val="00EB16E4"/>
    <w:pPr>
      <w:numPr>
        <w:numId w:val="12"/>
      </w:numPr>
      <w:tabs>
        <w:tab w:val="clear" w:pos="340"/>
      </w:tabs>
      <w:spacing w:before="40" w:after="40"/>
    </w:pPr>
  </w:style>
  <w:style w:type="character" w:customStyle="1" w:styleId="SpecialBold">
    <w:name w:val="Special Bold"/>
    <w:basedOn w:val="DefaultParagraphFont"/>
    <w:rsid w:val="00EB16E4"/>
    <w:rPr>
      <w:b/>
      <w:spacing w:val="0"/>
    </w:rPr>
  </w:style>
  <w:style w:type="paragraph" w:styleId="ListBullet2">
    <w:name w:val="List Bullet 2"/>
    <w:basedOn w:val="List2"/>
    <w:rsid w:val="00EB16E4"/>
    <w:pPr>
      <w:numPr>
        <w:numId w:val="13"/>
      </w:numPr>
      <w:tabs>
        <w:tab w:val="clear" w:pos="680"/>
      </w:tabs>
    </w:pPr>
  </w:style>
  <w:style w:type="paragraph" w:customStyle="1" w:styleId="SuperHeading">
    <w:name w:val="SuperHeading"/>
    <w:basedOn w:val="Normal"/>
    <w:rsid w:val="00EB16E4"/>
    <w:pPr>
      <w:spacing w:before="240" w:after="120"/>
      <w:outlineLvl w:val="0"/>
    </w:pPr>
    <w:rPr>
      <w:rFonts w:ascii="Times New Roman" w:hAnsi="Times New Roman"/>
      <w:b/>
      <w:sz w:val="32"/>
    </w:rPr>
  </w:style>
  <w:style w:type="paragraph" w:customStyle="1" w:styleId="AllowPageBreak">
    <w:name w:val="AllowPageBreak"/>
    <w:rsid w:val="00EB16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16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6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6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6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6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6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16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16E4"/>
    <w:rPr>
      <w:rFonts w:ascii="Courier New" w:eastAsia="Times New Roman" w:hAnsi="Courier New" w:cs="Times New Roman"/>
      <w:i/>
      <w:szCs w:val="20"/>
      <w:lang w:eastAsia="en-US"/>
    </w:rPr>
  </w:style>
  <w:style w:type="paragraph" w:customStyle="1" w:styleId="HeadingBase">
    <w:name w:val="Heading Base"/>
    <w:rsid w:val="00EB16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6E4"/>
    <w:pPr>
      <w:tabs>
        <w:tab w:val="right" w:leader="dot" w:pos="9072"/>
      </w:tabs>
      <w:ind w:left="567"/>
    </w:pPr>
    <w:rPr>
      <w:szCs w:val="22"/>
    </w:rPr>
  </w:style>
  <w:style w:type="paragraph" w:customStyle="1" w:styleId="TOCBase">
    <w:name w:val="TOC Base"/>
    <w:rsid w:val="00EB16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6E4"/>
    <w:pPr>
      <w:tabs>
        <w:tab w:val="right" w:leader="dot" w:pos="9072"/>
      </w:tabs>
      <w:spacing w:before="40" w:after="40"/>
      <w:ind w:left="284"/>
    </w:pPr>
    <w:rPr>
      <w:rFonts w:ascii="Times New Roman" w:hAnsi="Times New Roman"/>
    </w:rPr>
  </w:style>
  <w:style w:type="paragraph" w:styleId="TOC1">
    <w:name w:val="toc 1"/>
    <w:basedOn w:val="TOCBase"/>
    <w:next w:val="Normal"/>
    <w:rsid w:val="00EB16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16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6E4"/>
    <w:rPr>
      <w:rFonts w:ascii="Times New Roman" w:eastAsia="Times New Roman" w:hAnsi="Times New Roman" w:cs="Times New Roman"/>
      <w:sz w:val="16"/>
      <w:lang w:eastAsia="en-US"/>
    </w:rPr>
  </w:style>
  <w:style w:type="paragraph" w:styleId="Title">
    <w:name w:val="Title"/>
    <w:basedOn w:val="HeadingBase"/>
    <w:link w:val="TitleChar"/>
    <w:qFormat/>
    <w:rsid w:val="00EB16E4"/>
    <w:pPr>
      <w:spacing w:before="5040"/>
      <w:jc w:val="center"/>
    </w:pPr>
    <w:rPr>
      <w:sz w:val="48"/>
      <w:szCs w:val="72"/>
      <w:lang w:val="en-US"/>
    </w:rPr>
  </w:style>
  <w:style w:type="character" w:customStyle="1" w:styleId="TitleChar">
    <w:name w:val="Title Char"/>
    <w:basedOn w:val="DefaultParagraphFont"/>
    <w:link w:val="Title"/>
    <w:rsid w:val="00EB16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6E4"/>
    <w:pPr>
      <w:tabs>
        <w:tab w:val="left" w:pos="3600"/>
        <w:tab w:val="left" w:pos="3958"/>
      </w:tabs>
    </w:pPr>
  </w:style>
  <w:style w:type="paragraph" w:styleId="List">
    <w:name w:val="List"/>
    <w:basedOn w:val="BodyText"/>
    <w:next w:val="BodyText"/>
    <w:rsid w:val="00EB16E4"/>
    <w:pPr>
      <w:tabs>
        <w:tab w:val="left" w:pos="340"/>
      </w:tabs>
      <w:spacing w:before="60" w:after="60"/>
      <w:ind w:left="340" w:hanging="340"/>
    </w:pPr>
  </w:style>
  <w:style w:type="paragraph" w:customStyle="1" w:styleId="Note">
    <w:name w:val="Note"/>
    <w:basedOn w:val="BodyText"/>
    <w:rsid w:val="00EB16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6E4"/>
    <w:pPr>
      <w:framePr w:wrap="auto" w:hAnchor="text" w:y="6049"/>
    </w:pPr>
    <w:rPr>
      <w:color w:val="000000"/>
      <w:sz w:val="40"/>
    </w:rPr>
  </w:style>
  <w:style w:type="paragraph" w:customStyle="1" w:styleId="TOCTitle">
    <w:name w:val="TOCTitle"/>
    <w:basedOn w:val="Heading1"/>
    <w:rsid w:val="00EB16E4"/>
    <w:pPr>
      <w:spacing w:after="240"/>
      <w:jc w:val="center"/>
      <w:outlineLvl w:val="9"/>
    </w:pPr>
    <w:rPr>
      <w:caps/>
    </w:rPr>
  </w:style>
  <w:style w:type="paragraph" w:customStyle="1" w:styleId="Version">
    <w:name w:val="Version"/>
    <w:rsid w:val="00EB16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16E4"/>
    <w:pPr>
      <w:keepNext w:val="0"/>
      <w:tabs>
        <w:tab w:val="right" w:pos="4176"/>
      </w:tabs>
      <w:ind w:left="198" w:hanging="198"/>
    </w:pPr>
    <w:rPr>
      <w:rFonts w:ascii="Garamond" w:hAnsi="Garamond"/>
    </w:rPr>
  </w:style>
  <w:style w:type="paragraph" w:styleId="IndexHeading">
    <w:name w:val="index heading"/>
    <w:basedOn w:val="Normal"/>
    <w:next w:val="Index1"/>
    <w:semiHidden/>
    <w:rsid w:val="00EB16E4"/>
    <w:pPr>
      <w:spacing w:before="120" w:after="120"/>
    </w:pPr>
    <w:rPr>
      <w:rFonts w:ascii="Arial" w:hAnsi="Arial"/>
      <w:b/>
      <w:color w:val="918585"/>
      <w:sz w:val="24"/>
    </w:rPr>
  </w:style>
  <w:style w:type="paragraph" w:styleId="Header">
    <w:name w:val="header"/>
    <w:basedOn w:val="Normal"/>
    <w:link w:val="HeaderChar"/>
    <w:rsid w:val="00EB16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6E4"/>
    <w:rPr>
      <w:rFonts w:ascii="Times New Roman" w:eastAsia="Times New Roman" w:hAnsi="Times New Roman" w:cs="Times New Roman"/>
      <w:sz w:val="16"/>
      <w:szCs w:val="20"/>
      <w:lang w:val="en-GB" w:eastAsia="en-US"/>
    </w:rPr>
  </w:style>
  <w:style w:type="paragraph" w:customStyle="1" w:styleId="Chapter">
    <w:name w:val="Chapter"/>
    <w:basedOn w:val="Normal"/>
    <w:rsid w:val="00EB16E4"/>
    <w:pPr>
      <w:spacing w:before="240"/>
    </w:pPr>
    <w:rPr>
      <w:rFonts w:ascii="Times New Roman" w:hAnsi="Times New Roman"/>
      <w:smallCaps/>
      <w:spacing w:val="80"/>
      <w:sz w:val="28"/>
    </w:rPr>
  </w:style>
  <w:style w:type="paragraph" w:customStyle="1" w:styleId="InChapter">
    <w:name w:val="InChapter"/>
    <w:basedOn w:val="Heading3"/>
    <w:rsid w:val="00EB16E4"/>
    <w:pPr>
      <w:spacing w:after="240"/>
      <w:outlineLvl w:val="9"/>
    </w:pPr>
    <w:rPr>
      <w:noProof/>
    </w:rPr>
  </w:style>
  <w:style w:type="paragraph" w:styleId="Index2">
    <w:name w:val="index 2"/>
    <w:basedOn w:val="Normal"/>
    <w:next w:val="Normal"/>
    <w:semiHidden/>
    <w:rsid w:val="00EB16E4"/>
    <w:pPr>
      <w:tabs>
        <w:tab w:val="right" w:pos="4176"/>
      </w:tabs>
      <w:ind w:left="568" w:hanging="284"/>
    </w:pPr>
    <w:rPr>
      <w:rFonts w:ascii="Garamond" w:hAnsi="Garamond"/>
    </w:rPr>
  </w:style>
  <w:style w:type="paragraph" w:customStyle="1" w:styleId="Byline">
    <w:name w:val="Byline"/>
    <w:rsid w:val="00EB16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6E4"/>
    <w:pPr>
      <w:tabs>
        <w:tab w:val="clear" w:pos="3600"/>
        <w:tab w:val="clear" w:pos="3958"/>
      </w:tabs>
      <w:jc w:val="right"/>
    </w:pPr>
  </w:style>
  <w:style w:type="character" w:styleId="Emphasis">
    <w:name w:val="Emphasis"/>
    <w:basedOn w:val="DefaultParagraphFont"/>
    <w:qFormat/>
    <w:rsid w:val="00EB16E4"/>
    <w:rPr>
      <w:i/>
    </w:rPr>
  </w:style>
  <w:style w:type="paragraph" w:styleId="Caption">
    <w:name w:val="caption"/>
    <w:basedOn w:val="BodyText"/>
    <w:next w:val="Normal"/>
    <w:qFormat/>
    <w:rsid w:val="00EB16E4"/>
    <w:pPr>
      <w:framePr w:w="2268" w:hSpace="181" w:vSpace="181" w:wrap="around" w:vAnchor="text" w:hAnchor="page" w:x="1135" w:y="285" w:anchorLock="1"/>
    </w:pPr>
    <w:rPr>
      <w:i/>
    </w:rPr>
  </w:style>
  <w:style w:type="paragraph" w:customStyle="1" w:styleId="MiniTOCTitle">
    <w:name w:val="MiniTOCTitle"/>
    <w:basedOn w:val="Heading4"/>
    <w:rsid w:val="00EB16E4"/>
    <w:pPr>
      <w:spacing w:before="240"/>
      <w:outlineLvl w:val="9"/>
    </w:pPr>
    <w:rPr>
      <w:noProof/>
      <w:sz w:val="24"/>
    </w:rPr>
  </w:style>
  <w:style w:type="paragraph" w:customStyle="1" w:styleId="MiniTOCItem">
    <w:name w:val="MiniTOCItem"/>
    <w:basedOn w:val="ListBullet"/>
    <w:rsid w:val="00EB16E4"/>
    <w:pPr>
      <w:numPr>
        <w:numId w:val="0"/>
      </w:numPr>
      <w:tabs>
        <w:tab w:val="right" w:leader="dot" w:pos="6521"/>
      </w:tabs>
      <w:spacing w:before="0" w:after="0"/>
    </w:pPr>
  </w:style>
  <w:style w:type="paragraph" w:customStyle="1" w:styleId="TOFTitle">
    <w:name w:val="TOFTitle"/>
    <w:basedOn w:val="TOCTitle"/>
    <w:rsid w:val="00EB16E4"/>
  </w:style>
  <w:style w:type="paragraph" w:styleId="TableofFigures">
    <w:name w:val="table of figures"/>
    <w:basedOn w:val="Normal"/>
    <w:next w:val="Normal"/>
    <w:semiHidden/>
    <w:rsid w:val="00EB16E4"/>
    <w:pPr>
      <w:tabs>
        <w:tab w:val="right" w:leader="dot" w:pos="9072"/>
      </w:tabs>
      <w:ind w:left="970" w:hanging="403"/>
    </w:pPr>
    <w:rPr>
      <w:rFonts w:ascii="Times New Roman" w:hAnsi="Times New Roman"/>
      <w:b/>
    </w:rPr>
  </w:style>
  <w:style w:type="paragraph" w:styleId="ListNumber">
    <w:name w:val="List Number"/>
    <w:basedOn w:val="List"/>
    <w:rsid w:val="00EB16E4"/>
    <w:pPr>
      <w:numPr>
        <w:numId w:val="15"/>
      </w:numPr>
      <w:tabs>
        <w:tab w:val="clear" w:pos="340"/>
      </w:tabs>
    </w:pPr>
  </w:style>
  <w:style w:type="character" w:customStyle="1" w:styleId="WingdingSymbols">
    <w:name w:val="Wingding Symbols"/>
    <w:rsid w:val="00EB16E4"/>
    <w:rPr>
      <w:rFonts w:ascii="Wingdings" w:hAnsi="Wingdings"/>
    </w:rPr>
  </w:style>
  <w:style w:type="paragraph" w:customStyle="1" w:styleId="TableHeading">
    <w:name w:val="Table Heading"/>
    <w:basedOn w:val="HeadingBase"/>
    <w:rsid w:val="00EB16E4"/>
    <w:pPr>
      <w:keepLines/>
      <w:pBdr>
        <w:bottom w:val="single" w:sz="6" w:space="1" w:color="918585"/>
      </w:pBdr>
      <w:spacing w:before="240"/>
    </w:pPr>
  </w:style>
  <w:style w:type="character" w:customStyle="1" w:styleId="HotSpot">
    <w:name w:val="HotSpot"/>
    <w:rsid w:val="00EB16E4"/>
    <w:rPr>
      <w:color w:val="0033CC"/>
      <w:u w:val="none"/>
    </w:rPr>
  </w:style>
  <w:style w:type="paragraph" w:customStyle="1" w:styleId="BodyTextRight">
    <w:name w:val="Body Text Right"/>
    <w:basedOn w:val="BodyText"/>
    <w:rsid w:val="00EB16E4"/>
    <w:pPr>
      <w:spacing w:before="0" w:after="0"/>
      <w:jc w:val="right"/>
    </w:pPr>
  </w:style>
  <w:style w:type="paragraph" w:styleId="Index3">
    <w:name w:val="index 3"/>
    <w:basedOn w:val="ListNumber2"/>
    <w:next w:val="Normal"/>
    <w:semiHidden/>
    <w:rsid w:val="00EB16E4"/>
    <w:pPr>
      <w:numPr>
        <w:numId w:val="0"/>
      </w:numPr>
      <w:tabs>
        <w:tab w:val="right" w:leader="dot" w:pos="4176"/>
      </w:tabs>
    </w:pPr>
  </w:style>
  <w:style w:type="paragraph" w:styleId="ListNumber2">
    <w:name w:val="List Number 2"/>
    <w:basedOn w:val="List2"/>
    <w:rsid w:val="00EB16E4"/>
    <w:pPr>
      <w:numPr>
        <w:numId w:val="10"/>
      </w:numPr>
      <w:tabs>
        <w:tab w:val="clear" w:pos="1060"/>
      </w:tabs>
    </w:pPr>
  </w:style>
  <w:style w:type="paragraph" w:customStyle="1" w:styleId="MarginNote">
    <w:name w:val="Margin Note"/>
    <w:basedOn w:val="BodyText"/>
    <w:rsid w:val="00EB16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6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6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16E4"/>
    <w:rPr>
      <w:sz w:val="32"/>
    </w:rPr>
  </w:style>
  <w:style w:type="paragraph" w:customStyle="1" w:styleId="HeadingProcedure">
    <w:name w:val="Heading Procedure"/>
    <w:basedOn w:val="HeadingBase"/>
    <w:next w:val="Normal"/>
    <w:rsid w:val="00EB16E4"/>
    <w:pPr>
      <w:tabs>
        <w:tab w:val="left" w:pos="0"/>
      </w:tabs>
      <w:spacing w:before="120" w:after="60"/>
    </w:pPr>
    <w:rPr>
      <w:i/>
      <w:color w:val="918585"/>
      <w:sz w:val="22"/>
    </w:rPr>
  </w:style>
  <w:style w:type="paragraph" w:customStyle="1" w:styleId="TableBodyText">
    <w:name w:val="Table Body Text"/>
    <w:basedOn w:val="BodyText"/>
    <w:rsid w:val="00EB16E4"/>
    <w:pPr>
      <w:spacing w:before="60" w:after="60"/>
    </w:pPr>
  </w:style>
  <w:style w:type="paragraph" w:styleId="ListContinue">
    <w:name w:val="List Continue"/>
    <w:basedOn w:val="List"/>
    <w:rsid w:val="00EB16E4"/>
    <w:pPr>
      <w:ind w:firstLine="0"/>
    </w:pPr>
  </w:style>
  <w:style w:type="paragraph" w:customStyle="1" w:styleId="ListNote">
    <w:name w:val="List Note"/>
    <w:basedOn w:val="List"/>
    <w:rsid w:val="00EB16E4"/>
    <w:pPr>
      <w:pBdr>
        <w:top w:val="single" w:sz="6" w:space="2" w:color="918585"/>
        <w:bottom w:val="single" w:sz="6" w:space="2" w:color="918585"/>
      </w:pBdr>
      <w:tabs>
        <w:tab w:val="left" w:pos="1021"/>
      </w:tabs>
      <w:ind w:firstLine="0"/>
    </w:pPr>
  </w:style>
  <w:style w:type="paragraph" w:customStyle="1" w:styleId="Warning">
    <w:name w:val="Warning"/>
    <w:basedOn w:val="BodyText"/>
    <w:rsid w:val="00EB16E4"/>
    <w:pPr>
      <w:shd w:val="clear" w:color="auto" w:fill="D9D9D9"/>
      <w:tabs>
        <w:tab w:val="left" w:pos="992"/>
      </w:tabs>
      <w:ind w:left="119" w:right="119"/>
    </w:pPr>
    <w:rPr>
      <w:sz w:val="20"/>
    </w:rPr>
  </w:style>
  <w:style w:type="paragraph" w:customStyle="1" w:styleId="MarginIcons">
    <w:name w:val="Margin Icons"/>
    <w:basedOn w:val="BodyText"/>
    <w:rsid w:val="00EB16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6E4"/>
    <w:rPr>
      <w:rFonts w:ascii="Courier New" w:hAnsi="Courier New"/>
    </w:rPr>
  </w:style>
  <w:style w:type="paragraph" w:customStyle="1" w:styleId="NoteBullet">
    <w:name w:val="Note Bullet"/>
    <w:basedOn w:val="Note"/>
    <w:rsid w:val="00EB16E4"/>
    <w:pPr>
      <w:tabs>
        <w:tab w:val="clear" w:pos="680"/>
      </w:tabs>
      <w:spacing w:before="60" w:after="60"/>
    </w:pPr>
  </w:style>
  <w:style w:type="paragraph" w:customStyle="1" w:styleId="SubHeading2">
    <w:name w:val="SubHeading2"/>
    <w:basedOn w:val="HeadingBase"/>
    <w:rsid w:val="00EB16E4"/>
    <w:pPr>
      <w:spacing w:before="240" w:after="60"/>
    </w:pPr>
    <w:rPr>
      <w:sz w:val="20"/>
    </w:rPr>
  </w:style>
  <w:style w:type="paragraph" w:customStyle="1" w:styleId="SubHeading1">
    <w:name w:val="SubHeading1"/>
    <w:basedOn w:val="HeadingBase"/>
    <w:rsid w:val="00EB16E4"/>
    <w:pPr>
      <w:spacing w:before="240" w:after="60"/>
    </w:pPr>
    <w:rPr>
      <w:color w:val="918585"/>
      <w:sz w:val="22"/>
    </w:rPr>
  </w:style>
  <w:style w:type="paragraph" w:customStyle="1" w:styleId="SideHeading">
    <w:name w:val="Side Heading"/>
    <w:basedOn w:val="HeadingBase"/>
    <w:rsid w:val="00EB16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6E4"/>
    <w:pPr>
      <w:tabs>
        <w:tab w:val="num" w:pos="360"/>
      </w:tabs>
    </w:pPr>
  </w:style>
  <w:style w:type="paragraph" w:styleId="PlainText">
    <w:name w:val="Plain Text"/>
    <w:basedOn w:val="Normal"/>
    <w:link w:val="PlainTextChar"/>
    <w:rsid w:val="00EB16E4"/>
    <w:rPr>
      <w:sz w:val="20"/>
    </w:rPr>
  </w:style>
  <w:style w:type="character" w:customStyle="1" w:styleId="PlainTextChar">
    <w:name w:val="Plain Text Char"/>
    <w:basedOn w:val="DefaultParagraphFont"/>
    <w:link w:val="PlainText"/>
    <w:rsid w:val="00EB16E4"/>
    <w:rPr>
      <w:rFonts w:ascii="Courier New" w:eastAsia="Times New Roman" w:hAnsi="Courier New" w:cs="Times New Roman"/>
      <w:sz w:val="20"/>
      <w:szCs w:val="20"/>
      <w:lang w:eastAsia="en-US"/>
    </w:rPr>
  </w:style>
  <w:style w:type="character" w:customStyle="1" w:styleId="MenuOption">
    <w:name w:val="Menu Option"/>
    <w:basedOn w:val="DefaultParagraphFont"/>
    <w:rsid w:val="00EB16E4"/>
    <w:rPr>
      <w:b/>
      <w:smallCaps/>
    </w:rPr>
  </w:style>
  <w:style w:type="paragraph" w:customStyle="1" w:styleId="TableListNumber">
    <w:name w:val="Table List Number"/>
    <w:basedOn w:val="ListNumber"/>
    <w:rsid w:val="00EB16E4"/>
    <w:pPr>
      <w:numPr>
        <w:numId w:val="0"/>
      </w:numPr>
    </w:pPr>
  </w:style>
  <w:style w:type="paragraph" w:styleId="TOC4">
    <w:name w:val="toc 4"/>
    <w:basedOn w:val="TOCBase"/>
    <w:next w:val="Normal"/>
    <w:semiHidden/>
    <w:rsid w:val="00EB16E4"/>
    <w:pPr>
      <w:tabs>
        <w:tab w:val="right" w:leader="dot" w:pos="9071"/>
      </w:tabs>
      <w:ind w:left="1701"/>
    </w:pPr>
  </w:style>
  <w:style w:type="paragraph" w:customStyle="1" w:styleId="ListAlpha">
    <w:name w:val="List Alpha"/>
    <w:basedOn w:val="List"/>
    <w:rsid w:val="00EB16E4"/>
    <w:pPr>
      <w:numPr>
        <w:numId w:val="9"/>
      </w:numPr>
    </w:pPr>
  </w:style>
  <w:style w:type="paragraph" w:customStyle="1" w:styleId="ListAlpha2">
    <w:name w:val="List Alpha 2"/>
    <w:basedOn w:val="List2"/>
    <w:rsid w:val="00EB16E4"/>
    <w:pPr>
      <w:numPr>
        <w:numId w:val="8"/>
      </w:numPr>
    </w:pPr>
  </w:style>
  <w:style w:type="paragraph" w:styleId="List2">
    <w:name w:val="List 2"/>
    <w:basedOn w:val="BodyText"/>
    <w:rsid w:val="00EB16E4"/>
    <w:pPr>
      <w:tabs>
        <w:tab w:val="left" w:pos="680"/>
      </w:tabs>
      <w:spacing w:before="60" w:after="60"/>
      <w:ind w:left="680" w:hanging="340"/>
    </w:pPr>
  </w:style>
  <w:style w:type="paragraph" w:styleId="List3">
    <w:name w:val="List 3"/>
    <w:basedOn w:val="BodyText"/>
    <w:rsid w:val="00EB16E4"/>
    <w:pPr>
      <w:tabs>
        <w:tab w:val="left" w:pos="1021"/>
      </w:tabs>
      <w:spacing w:before="60" w:after="60"/>
      <w:ind w:left="1020" w:hanging="340"/>
    </w:pPr>
  </w:style>
  <w:style w:type="paragraph" w:styleId="List4">
    <w:name w:val="List 4"/>
    <w:basedOn w:val="BodyText"/>
    <w:rsid w:val="00EB16E4"/>
    <w:pPr>
      <w:tabs>
        <w:tab w:val="left" w:pos="1361"/>
      </w:tabs>
      <w:spacing w:before="60" w:after="60"/>
      <w:ind w:left="1361" w:hanging="340"/>
    </w:pPr>
  </w:style>
  <w:style w:type="paragraph" w:styleId="List5">
    <w:name w:val="List 5"/>
    <w:basedOn w:val="BodyText"/>
    <w:rsid w:val="00EB16E4"/>
    <w:pPr>
      <w:tabs>
        <w:tab w:val="left" w:pos="1701"/>
      </w:tabs>
      <w:spacing w:before="60" w:after="60"/>
      <w:ind w:left="1701" w:hanging="340"/>
    </w:pPr>
  </w:style>
  <w:style w:type="paragraph" w:styleId="ListBullet3">
    <w:name w:val="List Bullet 3"/>
    <w:basedOn w:val="List3"/>
    <w:rsid w:val="00EB16E4"/>
    <w:pPr>
      <w:numPr>
        <w:numId w:val="14"/>
      </w:numPr>
      <w:tabs>
        <w:tab w:val="clear" w:pos="1021"/>
      </w:tabs>
      <w:ind w:left="1037" w:hanging="357"/>
    </w:pPr>
  </w:style>
  <w:style w:type="paragraph" w:styleId="ListBullet4">
    <w:name w:val="List Bullet 4"/>
    <w:basedOn w:val="List4"/>
    <w:rsid w:val="00EB16E4"/>
    <w:pPr>
      <w:numPr>
        <w:numId w:val="3"/>
      </w:numPr>
      <w:tabs>
        <w:tab w:val="clear" w:pos="1361"/>
      </w:tabs>
    </w:pPr>
  </w:style>
  <w:style w:type="paragraph" w:styleId="ListBullet5">
    <w:name w:val="List Bullet 5"/>
    <w:basedOn w:val="List5"/>
    <w:rsid w:val="00EB16E4"/>
    <w:pPr>
      <w:numPr>
        <w:numId w:val="4"/>
      </w:numPr>
    </w:pPr>
  </w:style>
  <w:style w:type="paragraph" w:styleId="ListContinue2">
    <w:name w:val="List Continue 2"/>
    <w:basedOn w:val="List2"/>
    <w:rsid w:val="00EB16E4"/>
    <w:pPr>
      <w:ind w:firstLine="0"/>
    </w:pPr>
  </w:style>
  <w:style w:type="paragraph" w:styleId="ListContinue3">
    <w:name w:val="List Continue 3"/>
    <w:basedOn w:val="List3"/>
    <w:rsid w:val="00EB16E4"/>
    <w:pPr>
      <w:ind w:left="1021" w:firstLine="0"/>
    </w:pPr>
  </w:style>
  <w:style w:type="paragraph" w:styleId="ListContinue4">
    <w:name w:val="List Continue 4"/>
    <w:basedOn w:val="List4"/>
    <w:rsid w:val="00EB16E4"/>
    <w:pPr>
      <w:ind w:firstLine="0"/>
    </w:pPr>
  </w:style>
  <w:style w:type="paragraph" w:styleId="ListContinue5">
    <w:name w:val="List Continue 5"/>
    <w:basedOn w:val="List5"/>
    <w:rsid w:val="00EB16E4"/>
    <w:pPr>
      <w:ind w:firstLine="0"/>
    </w:pPr>
  </w:style>
  <w:style w:type="paragraph" w:styleId="ListNumber3">
    <w:name w:val="List Number 3"/>
    <w:basedOn w:val="List3"/>
    <w:rsid w:val="00EB16E4"/>
    <w:pPr>
      <w:numPr>
        <w:numId w:val="5"/>
      </w:numPr>
    </w:pPr>
  </w:style>
  <w:style w:type="paragraph" w:styleId="ListNumber4">
    <w:name w:val="List Number 4"/>
    <w:basedOn w:val="List4"/>
    <w:rsid w:val="00EB16E4"/>
    <w:pPr>
      <w:numPr>
        <w:numId w:val="6"/>
      </w:numPr>
    </w:pPr>
  </w:style>
  <w:style w:type="paragraph" w:styleId="ListNumber5">
    <w:name w:val="List Number 5"/>
    <w:basedOn w:val="List5"/>
    <w:rsid w:val="00EB16E4"/>
    <w:pPr>
      <w:numPr>
        <w:numId w:val="7"/>
      </w:numPr>
    </w:pPr>
  </w:style>
  <w:style w:type="paragraph" w:styleId="BlockText">
    <w:name w:val="Block Text"/>
    <w:basedOn w:val="Normal"/>
    <w:rsid w:val="00EB16E4"/>
    <w:pPr>
      <w:spacing w:after="120"/>
      <w:ind w:left="1440" w:right="1440"/>
    </w:pPr>
  </w:style>
  <w:style w:type="character" w:customStyle="1" w:styleId="Subscript">
    <w:name w:val="Subscript"/>
    <w:basedOn w:val="DefaultParagraphFont"/>
    <w:rsid w:val="00EB16E4"/>
    <w:rPr>
      <w:sz w:val="16"/>
      <w:vertAlign w:val="subscript"/>
    </w:rPr>
  </w:style>
  <w:style w:type="character" w:customStyle="1" w:styleId="Superscript">
    <w:name w:val="Superscript"/>
    <w:basedOn w:val="DefaultParagraphFont"/>
    <w:rsid w:val="00EB16E4"/>
    <w:rPr>
      <w:sz w:val="16"/>
      <w:vertAlign w:val="superscript"/>
    </w:rPr>
  </w:style>
  <w:style w:type="character" w:customStyle="1" w:styleId="Symbols">
    <w:name w:val="Symbols"/>
    <w:basedOn w:val="DefaultParagraphFont"/>
    <w:rsid w:val="00EB16E4"/>
    <w:rPr>
      <w:rFonts w:ascii="Symbol" w:hAnsi="Symbol"/>
    </w:rPr>
  </w:style>
  <w:style w:type="character" w:customStyle="1" w:styleId="MenuOptions">
    <w:name w:val="Menu Options"/>
    <w:basedOn w:val="DefaultParagraphFont"/>
    <w:rsid w:val="00EB16E4"/>
    <w:rPr>
      <w:rFonts w:ascii="Arial Narrow" w:hAnsi="Arial Narrow"/>
      <w:smallCaps/>
    </w:rPr>
  </w:style>
  <w:style w:type="character" w:customStyle="1" w:styleId="Buttons">
    <w:name w:val="Buttons"/>
    <w:basedOn w:val="DefaultParagraphFont"/>
    <w:rsid w:val="00EB16E4"/>
    <w:rPr>
      <w:b/>
    </w:rPr>
  </w:style>
  <w:style w:type="character" w:customStyle="1" w:styleId="Underlined">
    <w:name w:val="Underlined"/>
    <w:basedOn w:val="DefaultParagraphFont"/>
    <w:rsid w:val="00EB16E4"/>
    <w:rPr>
      <w:u w:val="single"/>
    </w:rPr>
  </w:style>
  <w:style w:type="paragraph" w:customStyle="1" w:styleId="TableBodyTextRight">
    <w:name w:val="Table Body Text Right"/>
    <w:basedOn w:val="TableBodyText"/>
    <w:rsid w:val="00EB16E4"/>
    <w:pPr>
      <w:widowControl w:val="0"/>
      <w:autoSpaceDE w:val="0"/>
      <w:autoSpaceDN w:val="0"/>
      <w:adjustRightInd w:val="0"/>
      <w:jc w:val="right"/>
    </w:pPr>
    <w:rPr>
      <w:rFonts w:cs="Arial"/>
      <w:szCs w:val="18"/>
    </w:rPr>
  </w:style>
  <w:style w:type="paragraph" w:customStyle="1" w:styleId="CopyrightText">
    <w:name w:val="Copyright Text"/>
    <w:basedOn w:val="BodyText"/>
    <w:rsid w:val="00EB16E4"/>
    <w:rPr>
      <w:sz w:val="18"/>
    </w:rPr>
  </w:style>
  <w:style w:type="paragraph" w:customStyle="1" w:styleId="BodySmallRight">
    <w:name w:val="Body Small Right"/>
    <w:basedOn w:val="BodyTextRight"/>
    <w:rsid w:val="00EB16E4"/>
    <w:rPr>
      <w:sz w:val="18"/>
      <w:szCs w:val="18"/>
    </w:rPr>
  </w:style>
  <w:style w:type="paragraph" w:customStyle="1" w:styleId="MarginEdition">
    <w:name w:val="Margin Edition"/>
    <w:basedOn w:val="MarginNote"/>
    <w:rsid w:val="00EB16E4"/>
    <w:pPr>
      <w:spacing w:before="0" w:after="0"/>
    </w:pPr>
    <w:rPr>
      <w:rFonts w:ascii="Times New Roman" w:hAnsi="Times New Roman"/>
      <w:color w:val="999999"/>
    </w:rPr>
  </w:style>
  <w:style w:type="paragraph" w:customStyle="1" w:styleId="Spacer">
    <w:name w:val="Spacer"/>
    <w:basedOn w:val="Normal"/>
    <w:rsid w:val="00EB16E4"/>
    <w:rPr>
      <w:sz w:val="2"/>
      <w:szCs w:val="2"/>
    </w:rPr>
  </w:style>
  <w:style w:type="character" w:customStyle="1" w:styleId="Small">
    <w:name w:val="Small"/>
    <w:basedOn w:val="DefaultParagraphFont"/>
    <w:rsid w:val="00EB16E4"/>
    <w:rPr>
      <w:sz w:val="16"/>
    </w:rPr>
  </w:style>
  <w:style w:type="paragraph" w:customStyle="1" w:styleId="WideTable">
    <w:name w:val="Wide Table"/>
    <w:basedOn w:val="Normal"/>
    <w:rsid w:val="00EB16E4"/>
    <w:pPr>
      <w:ind w:left="-1418"/>
    </w:pPr>
    <w:rPr>
      <w:sz w:val="2"/>
      <w:szCs w:val="2"/>
    </w:rPr>
  </w:style>
  <w:style w:type="character" w:styleId="PageNumber">
    <w:name w:val="page number"/>
    <w:basedOn w:val="DefaultParagraphFont"/>
    <w:rsid w:val="00EB16E4"/>
  </w:style>
  <w:style w:type="paragraph" w:styleId="Quote">
    <w:name w:val="Quote"/>
    <w:basedOn w:val="Heading1"/>
    <w:link w:val="QuoteChar"/>
    <w:qFormat/>
    <w:rsid w:val="00EB16E4"/>
    <w:rPr>
      <w:b w:val="0"/>
      <w:sz w:val="72"/>
      <w:szCs w:val="72"/>
      <w:lang w:val="en-NZ"/>
    </w:rPr>
  </w:style>
  <w:style w:type="character" w:customStyle="1" w:styleId="QuoteChar">
    <w:name w:val="Quote Char"/>
    <w:basedOn w:val="DefaultParagraphFont"/>
    <w:link w:val="Quote"/>
    <w:rsid w:val="00EB16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6E4"/>
    <w:pPr>
      <w:pageBreakBefore/>
    </w:pPr>
  </w:style>
  <w:style w:type="paragraph" w:customStyle="1" w:styleId="Border">
    <w:name w:val="Border"/>
    <w:basedOn w:val="Normal"/>
    <w:qFormat/>
    <w:rsid w:val="00EB16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6E4"/>
    <w:rPr>
      <w:b/>
      <w:bCs/>
      <w:i/>
      <w:iCs/>
      <w:color w:val="auto"/>
    </w:rPr>
  </w:style>
  <w:style w:type="paragraph" w:styleId="IntenseQuote">
    <w:name w:val="Intense Quote"/>
    <w:basedOn w:val="Normal"/>
    <w:next w:val="Normal"/>
    <w:link w:val="IntenseQuoteChar"/>
    <w:uiPriority w:val="30"/>
    <w:qFormat/>
    <w:rsid w:val="00EB16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6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16E4"/>
    <w:rPr>
      <w:smallCaps/>
      <w:color w:val="auto"/>
      <w:u w:val="single"/>
    </w:rPr>
  </w:style>
  <w:style w:type="character" w:styleId="IntenseReference">
    <w:name w:val="Intense Reference"/>
    <w:basedOn w:val="DefaultParagraphFont"/>
    <w:uiPriority w:val="32"/>
    <w:qFormat/>
    <w:rsid w:val="00EB16E4"/>
    <w:rPr>
      <w:b/>
      <w:bCs/>
      <w:smallCaps/>
      <w:color w:val="auto"/>
      <w:spacing w:val="5"/>
      <w:u w:val="single"/>
    </w:rPr>
  </w:style>
  <w:style w:type="paragraph" w:customStyle="1" w:styleId="2ColumnHeading">
    <w:name w:val="2Column Heading"/>
    <w:basedOn w:val="BodyText"/>
    <w:qFormat/>
    <w:rsid w:val="00EB16E4"/>
    <w:pPr>
      <w:spacing w:after="60"/>
      <w:ind w:left="-2268"/>
    </w:pPr>
    <w:rPr>
      <w:b/>
    </w:rPr>
  </w:style>
  <w:style w:type="paragraph" w:customStyle="1" w:styleId="Heading1TOC">
    <w:name w:val="Heading1 TOC"/>
    <w:basedOn w:val="Normal"/>
    <w:qFormat/>
    <w:rsid w:val="00EB16E4"/>
    <w:pPr>
      <w:spacing w:before="240" w:after="120"/>
    </w:pPr>
    <w:rPr>
      <w:rFonts w:ascii="Times New Roman" w:hAnsi="Times New Roman"/>
      <w:b/>
      <w:sz w:val="32"/>
    </w:rPr>
  </w:style>
  <w:style w:type="paragraph" w:customStyle="1" w:styleId="Heading2TOC">
    <w:name w:val="Heading2 TOC"/>
    <w:basedOn w:val="Normal"/>
    <w:qFormat/>
    <w:rsid w:val="00EB16E4"/>
    <w:pPr>
      <w:spacing w:before="240" w:after="60"/>
    </w:pPr>
    <w:rPr>
      <w:rFonts w:ascii="Times New Roman" w:hAnsi="Times New Roman"/>
      <w:b/>
      <w:sz w:val="28"/>
    </w:rPr>
  </w:style>
  <w:style w:type="character" w:customStyle="1" w:styleId="Underline">
    <w:name w:val="Underline"/>
    <w:basedOn w:val="DefaultParagraphFont"/>
    <w:qFormat/>
    <w:rsid w:val="00EB16E4"/>
    <w:rPr>
      <w:u w:val="single"/>
    </w:rPr>
  </w:style>
  <w:style w:type="character" w:customStyle="1" w:styleId="BoldandItalics">
    <w:name w:val="Bold and Italics"/>
    <w:qFormat/>
    <w:rsid w:val="00EB16E4"/>
    <w:rPr>
      <w:b/>
      <w:i/>
      <w:u w:val="none"/>
    </w:rPr>
  </w:style>
  <w:style w:type="paragraph" w:styleId="BalloonText">
    <w:name w:val="Balloon Text"/>
    <w:basedOn w:val="Normal"/>
    <w:link w:val="BalloonTextChar"/>
    <w:rsid w:val="00EB16E4"/>
    <w:rPr>
      <w:rFonts w:ascii="Tahoma" w:hAnsi="Tahoma" w:cs="Tahoma"/>
      <w:sz w:val="16"/>
      <w:szCs w:val="16"/>
    </w:rPr>
  </w:style>
  <w:style w:type="character" w:customStyle="1" w:styleId="BalloonTextChar">
    <w:name w:val="Balloon Text Char"/>
    <w:basedOn w:val="DefaultParagraphFont"/>
    <w:link w:val="BalloonText"/>
    <w:rsid w:val="00EB16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16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16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16E4"/>
    <w:rPr>
      <w:b/>
      <w:color w:val="660033"/>
      <w:spacing w:val="0"/>
    </w:rPr>
  </w:style>
  <w:style w:type="paragraph" w:customStyle="1" w:styleId="Nameditemlist">
    <w:name w:val="Named item list"/>
    <w:basedOn w:val="BodyText"/>
    <w:qFormat/>
    <w:rsid w:val="00EB16E4"/>
    <w:pPr>
      <w:tabs>
        <w:tab w:val="left" w:pos="2835"/>
      </w:tabs>
      <w:ind w:left="2835" w:hanging="2835"/>
    </w:pPr>
  </w:style>
  <w:style w:type="paragraph" w:customStyle="1" w:styleId="BodyTextnopadding">
    <w:name w:val="Body Text no padding"/>
    <w:basedOn w:val="BodyText"/>
    <w:qFormat/>
    <w:rsid w:val="00EB16E4"/>
    <w:pPr>
      <w:spacing w:before="0" w:after="0"/>
    </w:pPr>
  </w:style>
  <w:style w:type="paragraph" w:customStyle="1" w:styleId="BodyTextBold">
    <w:name w:val="Body Text Bold"/>
    <w:basedOn w:val="BodyText"/>
    <w:qFormat/>
    <w:rsid w:val="00EB16E4"/>
    <w:rPr>
      <w:b/>
    </w:rPr>
  </w:style>
  <w:style w:type="character" w:styleId="Hyperlink">
    <w:name w:val="Hyperlink"/>
    <w:basedOn w:val="DefaultParagraphFont"/>
    <w:uiPriority w:val="99"/>
    <w:unhideWhenUsed/>
    <w:rsid w:val="003521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4209</Characters>
  <Application>Microsoft Office Word</Application>
  <DocSecurity>0</DocSecurity>
  <Lines>191</Lines>
  <Paragraphs>112</Paragraphs>
  <ScaleCrop>false</ScaleCrop>
  <Company>Author-it Software Corporation Ltd.</Company>
  <LinksUpToDate>false</LinksUpToDate>
  <CharactersWithSpaces>4727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MSFUP3008 Apply finishing techniques to upholstered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2022-06-03T08:00:00Z</dcterms:created>
  <dcterms:modified xsi:type="dcterms:W3CDTF">2022-06-03T08:00:00Z</dcterms:modified>
</cp:coreProperties>
</file>