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484" w:rsidP="00316484">
      <w:pPr>
        <w:pStyle w:val="Title"/>
      </w:pPr>
      <w:r>
        <w:fldChar w:fldCharType="begin"/>
      </w:r>
      <w:r>
        <w:instrText xml:space="preserve"> TITLE   \* MERGEFORMAT </w:instrText>
      </w:r>
      <w:r>
        <w:fldChar w:fldCharType="separate"/>
      </w:r>
      <w:r>
        <w:t>MSFUP2006 Dismantle and re-assemble furniture for upholstering</w:t>
      </w:r>
      <w:r>
        <w:fldChar w:fldCharType="end"/>
      </w:r>
    </w:p>
    <w:p w:rsidR="00316484" w:rsidP="00316484">
      <w:pPr>
        <w:pStyle w:val="Version"/>
        <w:sectPr w:rsidSect="00B762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2DB" w:rsidP="00B762DB">
      <w:pPr>
        <w:pStyle w:val="SuperHeading"/>
      </w:pPr>
      <w:r w:rsidRPr="00B762DB">
        <w:t>MSFUP2006 Dismantle and re-assemble furniture for upholstering</w:t>
      </w:r>
    </w:p>
    <w:p w:rsidR="00000000" w:rsidRPr="00B762DB" w:rsidP="00B762DB">
      <w:pPr>
        <w:pStyle w:val="Heading1"/>
      </w:pPr>
      <w:bookmarkStart w:id="1" w:name="O_620365"/>
      <w:bookmarkEnd w:id="1"/>
      <w:r w:rsidRPr="00B762DB">
        <w:t>Modification History</w:t>
      </w:r>
    </w:p>
    <w:p w:rsidR="00000000" w:rsidRPr="00B762DB" w:rsidP="00316484">
      <w:pPr>
        <w:pStyle w:val="BodyText"/>
      </w:pPr>
      <w:r w:rsidRPr="00B762DB">
        <w:t>Release 1 - New unit of competency</w:t>
      </w:r>
    </w:p>
    <w:p w:rsidR="00000000" w:rsidRPr="00B762DB" w:rsidP="00B762DB">
      <w:pPr>
        <w:pStyle w:val="Heading1"/>
      </w:pPr>
      <w:bookmarkStart w:id="2" w:name="O_620366"/>
      <w:bookmarkEnd w:id="2"/>
      <w:r w:rsidRPr="00B762DB">
        <w:t>Application</w:t>
      </w:r>
    </w:p>
    <w:p w:rsidR="00000000" w:rsidRPr="00B762DB" w:rsidP="00316484">
      <w:pPr>
        <w:pStyle w:val="BodyText"/>
      </w:pPr>
      <w:r w:rsidRPr="00B762DB">
        <w:t>This unit of competency covers dismantling and re-assembling furniture and/or fittin</w:t>
      </w:r>
      <w:r w:rsidRPr="00B762DB">
        <w:t>gs for the purposes of fitting and/or refurbishing upholstery.</w:t>
      </w:r>
    </w:p>
    <w:p w:rsidR="00000000" w:rsidRPr="00B762DB" w:rsidP="00316484">
      <w:pPr>
        <w:pStyle w:val="BodyText"/>
      </w:pPr>
      <w:r w:rsidRPr="00B762DB">
        <w:t>No licensing, legislative or certification requirements apply to this unit at the time of publication.</w:t>
      </w:r>
    </w:p>
    <w:p w:rsidR="00000000" w:rsidRPr="00B762DB" w:rsidP="00B762DB">
      <w:pPr>
        <w:pStyle w:val="Heading1"/>
      </w:pPr>
      <w:bookmarkStart w:id="3" w:name="O_620367"/>
      <w:bookmarkEnd w:id="3"/>
      <w:r w:rsidRPr="00B762DB">
        <w:t>Pre-requisite Unit</w:t>
      </w:r>
    </w:p>
    <w:p w:rsidR="00000000" w:rsidRPr="00B762DB" w:rsidP="00B762DB">
      <w:pPr>
        <w:pStyle w:val="Heading1"/>
      </w:pPr>
      <w:bookmarkStart w:id="4" w:name="O_620368"/>
      <w:bookmarkEnd w:id="4"/>
      <w:r w:rsidRPr="00B762DB">
        <w:t>Competency Field</w:t>
      </w:r>
    </w:p>
    <w:p w:rsidR="00000000" w:rsidRPr="00B762DB" w:rsidP="00B762DB">
      <w:pPr>
        <w:pStyle w:val="Heading1"/>
      </w:pPr>
      <w:bookmarkStart w:id="5" w:name="O_620369"/>
      <w:bookmarkEnd w:id="5"/>
      <w:r w:rsidRPr="00B762DB">
        <w:t>Unit</w:t>
      </w:r>
      <w:r w:rsidRPr="00B762DB">
        <w:t xml:space="preserve"> Sector</w:t>
      </w:r>
    </w:p>
    <w:p w:rsidR="00000000" w:rsidRPr="00B762DB" w:rsidP="00316484">
      <w:pPr>
        <w:pStyle w:val="BodyText"/>
      </w:pPr>
      <w:r w:rsidRPr="00B762DB">
        <w:t>Upholstery</w:t>
      </w:r>
    </w:p>
    <w:p w:rsidR="00000000" w:rsidRPr="00B762DB" w:rsidP="00B762DB">
      <w:pPr>
        <w:pStyle w:val="Heading1"/>
      </w:pPr>
      <w:bookmarkStart w:id="6" w:name="O_620370"/>
      <w:bookmarkEnd w:id="6"/>
      <w:r w:rsidRPr="00B762DB">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B762D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Performance criteria describe the performance needed to demonstrate achievement of the element.</w:t>
            </w:r>
          </w:p>
        </w:tc>
      </w:tr>
      <w:tr w:rsidTr="00B762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1</w:t>
            </w:r>
          </w:p>
        </w:tc>
        <w:tc>
          <w:tcPr>
            <w:tcW w:w="2219"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Prepare for work</w:t>
            </w:r>
          </w:p>
        </w:tc>
        <w:tc>
          <w:tcPr>
            <w:tcW w:w="661"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1.1</w:t>
            </w:r>
          </w:p>
        </w:tc>
        <w:tc>
          <w:tcPr>
            <w:tcW w:w="5866"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Item to be dismantled is inspected and components identified</w:t>
            </w:r>
          </w:p>
        </w:tc>
      </w:tr>
      <w:tr w:rsidTr="00B762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1.2</w:t>
            </w:r>
          </w:p>
        </w:tc>
        <w:tc>
          <w:tcPr>
            <w:tcW w:w="5866"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Work health and safety (WHS) requirements, including personal protection needs, are observed throughout the work</w:t>
            </w:r>
          </w:p>
        </w:tc>
      </w:tr>
      <w:tr w:rsidTr="00B762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1.3</w:t>
            </w:r>
          </w:p>
        </w:tc>
        <w:tc>
          <w:tcPr>
            <w:tcW w:w="5866"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Work required, including the process/order for dismantling according</w:t>
            </w:r>
            <w:r w:rsidRPr="00B762DB">
              <w:t xml:space="preserve"> to the workplace procedures, is identified</w:t>
            </w:r>
          </w:p>
        </w:tc>
      </w:tr>
      <w:tr w:rsidTr="00B762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1.4</w:t>
            </w:r>
          </w:p>
        </w:tc>
        <w:tc>
          <w:tcPr>
            <w:tcW w:w="5866"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Tools and equipment are selected and checked for safe and effective operation for the task</w:t>
            </w:r>
          </w:p>
        </w:tc>
      </w:tr>
      <w:tr w:rsidTr="00B762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2</w:t>
            </w:r>
          </w:p>
        </w:tc>
        <w:tc>
          <w:tcPr>
            <w:tcW w:w="2219"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Dismantle furniture</w:t>
            </w:r>
          </w:p>
        </w:tc>
        <w:tc>
          <w:tcPr>
            <w:tcW w:w="661"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2.1</w:t>
            </w:r>
          </w:p>
        </w:tc>
        <w:tc>
          <w:tcPr>
            <w:tcW w:w="5866"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Items to be dismantled are identified</w:t>
            </w:r>
          </w:p>
        </w:tc>
      </w:tr>
      <w:tr w:rsidTr="00B762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2.2</w:t>
            </w:r>
          </w:p>
        </w:tc>
        <w:tc>
          <w:tcPr>
            <w:tcW w:w="5866"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Items are dismantled to the extent required in the work instructions using appropriate tools and procedures</w:t>
            </w:r>
          </w:p>
        </w:tc>
      </w:tr>
      <w:tr w:rsidTr="00B762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2.3</w:t>
            </w:r>
          </w:p>
        </w:tc>
        <w:tc>
          <w:tcPr>
            <w:tcW w:w="5866"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Any previous upholstery is noted for wear, condition and application techniques</w:t>
            </w:r>
          </w:p>
        </w:tc>
      </w:tr>
      <w:tr w:rsidTr="00B762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2.4</w:t>
            </w:r>
          </w:p>
        </w:tc>
        <w:tc>
          <w:tcPr>
            <w:tcW w:w="5866"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Fasteners and attachments are removed and stored</w:t>
            </w:r>
          </w:p>
        </w:tc>
      </w:tr>
      <w:tr w:rsidTr="00B762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2.5</w:t>
            </w:r>
          </w:p>
        </w:tc>
        <w:tc>
          <w:tcPr>
            <w:tcW w:w="5866"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Component parts are separated, tagged and stored following workplace procedures</w:t>
            </w:r>
          </w:p>
        </w:tc>
      </w:tr>
      <w:tr w:rsidTr="00B762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2.6</w:t>
            </w:r>
          </w:p>
        </w:tc>
        <w:tc>
          <w:tcPr>
            <w:tcW w:w="5866"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Component parts are despatched to the next process according to workplace procedures</w:t>
            </w:r>
          </w:p>
        </w:tc>
      </w:tr>
      <w:tr w:rsidTr="00B762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3</w:t>
            </w:r>
          </w:p>
        </w:tc>
        <w:tc>
          <w:tcPr>
            <w:tcW w:w="2219"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Re-assemble furniture</w:t>
            </w:r>
          </w:p>
        </w:tc>
        <w:tc>
          <w:tcPr>
            <w:tcW w:w="661"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3.1</w:t>
            </w:r>
          </w:p>
        </w:tc>
        <w:tc>
          <w:tcPr>
            <w:tcW w:w="5866"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Items to be re-assembled are identified</w:t>
            </w:r>
          </w:p>
        </w:tc>
      </w:tr>
      <w:tr w:rsidTr="00B762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3.2</w:t>
            </w:r>
          </w:p>
        </w:tc>
        <w:tc>
          <w:tcPr>
            <w:tcW w:w="5866"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Item</w:t>
            </w:r>
            <w:r w:rsidRPr="00B762DB">
              <w:t>s are re-assembled to the extent required in the work instructions using appropriate tools and procedures</w:t>
            </w:r>
          </w:p>
        </w:tc>
      </w:tr>
      <w:tr w:rsidTr="00B762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3.3</w:t>
            </w:r>
          </w:p>
        </w:tc>
        <w:tc>
          <w:tcPr>
            <w:tcW w:w="5866"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Upholstered components are noted for the security and condition of the upholstered fittings</w:t>
            </w:r>
          </w:p>
        </w:tc>
      </w:tr>
      <w:tr w:rsidTr="00B762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3.4</w:t>
            </w:r>
          </w:p>
        </w:tc>
        <w:tc>
          <w:tcPr>
            <w:tcW w:w="5866"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Fasteners and attachments are selected and used according to workplace procedures</w:t>
            </w:r>
          </w:p>
        </w:tc>
      </w:tr>
      <w:tr w:rsidTr="00B762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3.5</w:t>
            </w:r>
          </w:p>
        </w:tc>
        <w:tc>
          <w:tcPr>
            <w:tcW w:w="5866"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Assembled piece is despatched to the next process according to workplace procedures</w:t>
            </w:r>
          </w:p>
        </w:tc>
      </w:tr>
      <w:tr w:rsidTr="00B762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4</w:t>
            </w:r>
          </w:p>
        </w:tc>
        <w:tc>
          <w:tcPr>
            <w:tcW w:w="2219"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Complete work</w:t>
            </w:r>
          </w:p>
        </w:tc>
        <w:tc>
          <w:tcPr>
            <w:tcW w:w="661"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4.1</w:t>
            </w:r>
          </w:p>
        </w:tc>
        <w:tc>
          <w:tcPr>
            <w:tcW w:w="5866"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Equipment used is cleaned, inspected for serviceable condition</w:t>
            </w:r>
            <w:r w:rsidRPr="00B762DB">
              <w:t xml:space="preserve"> and stored in accordance with workplace procedures</w:t>
            </w:r>
          </w:p>
        </w:tc>
      </w:tr>
      <w:tr w:rsidTr="00B762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4.2</w:t>
            </w:r>
          </w:p>
        </w:tc>
        <w:tc>
          <w:tcPr>
            <w:tcW w:w="5866"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Equipment faults are identified, tagged and reported to appropriate personnel</w:t>
            </w:r>
          </w:p>
        </w:tc>
      </w:tr>
      <w:tr w:rsidTr="00B762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4.3</w:t>
            </w:r>
          </w:p>
        </w:tc>
        <w:tc>
          <w:tcPr>
            <w:tcW w:w="5866" w:type="dxa"/>
            <w:tcBorders>
              <w:top w:val="nil"/>
              <w:left w:val="nil"/>
              <w:bottom w:val="nil"/>
              <w:right w:val="nil"/>
            </w:tcBorders>
            <w:tcMar>
              <w:top w:w="0" w:type="dxa"/>
              <w:left w:w="62" w:type="dxa"/>
              <w:bottom w:w="0" w:type="dxa"/>
              <w:right w:w="62" w:type="dxa"/>
            </w:tcMar>
          </w:tcPr>
          <w:p w:rsidR="00000000" w:rsidRPr="00B762DB" w:rsidP="00B762DB">
            <w:pPr>
              <w:pStyle w:val="BodyText"/>
            </w:pPr>
            <w:r w:rsidRPr="00B762DB">
              <w:t>Work area is cleaned and returned to operational condition</w:t>
            </w:r>
          </w:p>
        </w:tc>
      </w:tr>
    </w:tbl>
    <w:p w:rsidR="00000000" w:rsidRPr="00B762DB" w:rsidP="00B762DB">
      <w:pPr>
        <w:pStyle w:val="BodyText"/>
      </w:pPr>
    </w:p>
    <w:p w:rsidR="00000000" w:rsidRPr="00B762DB" w:rsidP="00B762DB">
      <w:pPr>
        <w:pStyle w:val="AllowPageBreak"/>
      </w:pPr>
    </w:p>
    <w:p w:rsidR="00000000" w:rsidRPr="00B762DB" w:rsidP="00B762DB">
      <w:pPr>
        <w:pStyle w:val="Heading1"/>
      </w:pPr>
      <w:bookmarkStart w:id="7" w:name="O_620371"/>
      <w:bookmarkEnd w:id="7"/>
      <w:r w:rsidRPr="00B762DB">
        <w:t>Foundation Skills</w:t>
      </w:r>
    </w:p>
    <w:p w:rsidR="00000000" w:rsidRPr="00B762DB" w:rsidP="00316484">
      <w:pPr>
        <w:pStyle w:val="BodyText"/>
      </w:pPr>
      <w:r w:rsidRPr="00B762DB">
        <w:t>Foundation skills essential to performance are explicit in the performance criteria of this unit of competency. Detail on appropriate performance levels for each furnishing unit of competency in reading, writing, oral communication and numeracy utilising t</w:t>
      </w:r>
      <w:r w:rsidRPr="00B762DB">
        <w:t>he Australian Core Skills Framework (ACSF) are provided in the Furnishing Training Package Implementation Guide.</w:t>
      </w:r>
    </w:p>
    <w:p w:rsidR="00000000" w:rsidRPr="00B762DB" w:rsidP="00B762DB">
      <w:pPr>
        <w:pStyle w:val="Heading1"/>
      </w:pPr>
      <w:bookmarkStart w:id="8" w:name="O_620372"/>
      <w:bookmarkEnd w:id="8"/>
      <w:r w:rsidRPr="00B762DB">
        <w:t>Range of Conditions</w:t>
      </w:r>
    </w:p>
    <w:tbl>
      <w:tblPr>
        <w:tblW w:w="0" w:type="auto"/>
        <w:tblLayout w:type="fixed"/>
        <w:tblCellMar>
          <w:left w:w="62" w:type="dxa"/>
          <w:right w:w="62" w:type="dxa"/>
        </w:tblCellMar>
        <w:tblLook w:val="0000"/>
      </w:tblPr>
      <w:tblGrid>
        <w:gridCol w:w="2760"/>
        <w:gridCol w:w="6312"/>
      </w:tblGrid>
      <w:tr w:rsidTr="00B762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t>Specifies different work environments and conditions that may affect performance. Essential operating cond</w:t>
            </w:r>
            <w:r w:rsidRPr="00B762DB">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B762DB">
              <w:t>to the work environment.</w:t>
            </w:r>
          </w:p>
        </w:tc>
      </w:tr>
      <w:tr w:rsidTr="00B762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762DB" w:rsidP="00B762DB">
            <w:pPr>
              <w:pStyle w:val="ListBullet"/>
            </w:pPr>
            <w:r w:rsidRPr="00B762DB">
              <w:t xml:space="preserve">WHS requirements, including legislation, building codes, material safety management systems, hazardous and dangerous goods codes, and local safe operating procedures or equivalent </w:t>
            </w:r>
          </w:p>
          <w:p w:rsidR="00000000" w:rsidRPr="00B762DB" w:rsidP="00B762DB">
            <w:pPr>
              <w:pStyle w:val="ListBullet"/>
            </w:pPr>
            <w:r w:rsidRPr="00B762DB">
              <w:t xml:space="preserve">work is carried out in accordance with legislative obligations, environmental legislation, relevant health regulations, manual handling procedures and organisation insurance requirements </w:t>
            </w:r>
          </w:p>
          <w:p w:rsidR="00000000" w:rsidP="00B762DB">
            <w:pPr>
              <w:pStyle w:val="ListBullet"/>
              <w:rPr>
                <w:lang w:val="en-NZ"/>
              </w:rPr>
            </w:pPr>
            <w:r w:rsidRPr="00B762DB">
              <w:t xml:space="preserve">work requires individuals to demonstrate some discretion, judgement </w:t>
            </w:r>
            <w:r w:rsidRPr="00B762DB">
              <w:t xml:space="preserve">and problem solving </w:t>
            </w:r>
          </w:p>
        </w:tc>
      </w:tr>
      <w:tr w:rsidTr="00B762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762DB" w:rsidP="00B762DB">
            <w:pPr>
              <w:pStyle w:val="BodyText"/>
            </w:pPr>
            <w:r w:rsidRPr="00B762DB">
              <w:rPr>
                <w:rStyle w:val="SpecialBold"/>
              </w:rPr>
              <w:t>Furniture and/or furnishings include:</w:t>
            </w:r>
          </w:p>
          <w:p w:rsidR="00000000" w:rsidP="00B762D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762DB" w:rsidP="00B762DB">
            <w:pPr>
              <w:pStyle w:val="ListBullet"/>
            </w:pPr>
            <w:r w:rsidRPr="00B762DB">
              <w:t>chairs</w:t>
            </w:r>
          </w:p>
          <w:p w:rsidR="00000000" w:rsidRPr="00B762DB" w:rsidP="00B762DB">
            <w:pPr>
              <w:pStyle w:val="ListBullet"/>
            </w:pPr>
            <w:r w:rsidRPr="00B762DB">
              <w:t>sofas</w:t>
            </w:r>
          </w:p>
          <w:p w:rsidR="00000000" w:rsidRPr="00B762DB" w:rsidP="00B762DB">
            <w:pPr>
              <w:pStyle w:val="ListBullet"/>
            </w:pPr>
            <w:r w:rsidRPr="00B762DB">
              <w:t>settees</w:t>
            </w:r>
          </w:p>
          <w:p w:rsidR="00000000" w:rsidRPr="00B762DB" w:rsidP="00B762DB">
            <w:pPr>
              <w:pStyle w:val="ListBullet"/>
            </w:pPr>
            <w:r w:rsidRPr="00B762DB">
              <w:t>footstools</w:t>
            </w:r>
          </w:p>
          <w:p w:rsidR="00000000" w:rsidP="00B762DB">
            <w:pPr>
              <w:pStyle w:val="ListBullet"/>
              <w:rPr>
                <w:lang w:val="en-NZ"/>
              </w:rPr>
            </w:pPr>
            <w:r w:rsidRPr="00B762DB">
              <w:t>beds and their components</w:t>
            </w:r>
          </w:p>
        </w:tc>
      </w:tr>
      <w:tr w:rsidTr="00B762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762DB" w:rsidP="00B762DB">
            <w:pPr>
              <w:pStyle w:val="BodyText"/>
            </w:pPr>
            <w:r w:rsidRPr="00B762DB">
              <w:rPr>
                <w:rStyle w:val="SpecialBold"/>
              </w:rPr>
              <w:t>Tools and equipment include:</w:t>
            </w:r>
          </w:p>
          <w:p w:rsidR="00000000" w:rsidP="00B762D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762DB" w:rsidP="00B762DB">
            <w:pPr>
              <w:pStyle w:val="ListBullet"/>
            </w:pPr>
            <w:r w:rsidRPr="00B762DB">
              <w:t>measuring tapes or rulers</w:t>
            </w:r>
          </w:p>
          <w:p w:rsidR="00000000" w:rsidRPr="00B762DB" w:rsidP="00B762DB">
            <w:pPr>
              <w:pStyle w:val="ListBullet"/>
            </w:pPr>
            <w:r w:rsidRPr="00B762DB">
              <w:t>hammers</w:t>
            </w:r>
          </w:p>
          <w:p w:rsidR="00000000" w:rsidRPr="00B762DB" w:rsidP="00B762DB">
            <w:pPr>
              <w:pStyle w:val="ListBullet"/>
            </w:pPr>
            <w:r w:rsidRPr="00B762DB">
              <w:t>rubber mallet</w:t>
            </w:r>
          </w:p>
          <w:p w:rsidR="00000000" w:rsidRPr="00B762DB" w:rsidP="00B762DB">
            <w:pPr>
              <w:pStyle w:val="ListBullet"/>
            </w:pPr>
            <w:r w:rsidRPr="00B762DB">
              <w:t>pincers</w:t>
            </w:r>
          </w:p>
          <w:p w:rsidR="00000000" w:rsidRPr="00B762DB" w:rsidP="00B762DB">
            <w:pPr>
              <w:pStyle w:val="ListBullet"/>
            </w:pPr>
            <w:r w:rsidRPr="00B762DB">
              <w:t>screwdrivers</w:t>
            </w:r>
          </w:p>
          <w:p w:rsidR="00000000" w:rsidRPr="00B762DB" w:rsidP="00B762DB">
            <w:pPr>
              <w:pStyle w:val="ListBullet"/>
            </w:pPr>
            <w:r w:rsidRPr="00B762DB">
              <w:t>shifting spanner</w:t>
            </w:r>
          </w:p>
          <w:p w:rsidR="00000000" w:rsidRPr="00B762DB" w:rsidP="00B762DB">
            <w:pPr>
              <w:pStyle w:val="ListBullet"/>
            </w:pPr>
            <w:r w:rsidRPr="00B762DB">
              <w:t>spanners</w:t>
            </w:r>
          </w:p>
          <w:p w:rsidR="00000000" w:rsidRPr="00B762DB" w:rsidP="00B762DB">
            <w:pPr>
              <w:pStyle w:val="ListBullet"/>
            </w:pPr>
            <w:r w:rsidRPr="00B762DB">
              <w:t>socket set</w:t>
            </w:r>
          </w:p>
          <w:p w:rsidR="00000000" w:rsidRPr="00B762DB" w:rsidP="00B762DB">
            <w:pPr>
              <w:pStyle w:val="ListBullet"/>
            </w:pPr>
            <w:r w:rsidRPr="00B762DB">
              <w:t>hacksaw and blades</w:t>
            </w:r>
          </w:p>
          <w:p w:rsidR="00000000" w:rsidRPr="00B762DB" w:rsidP="00B762DB">
            <w:pPr>
              <w:pStyle w:val="ListBullet"/>
            </w:pPr>
            <w:r w:rsidRPr="00B762DB">
              <w:t>clamps</w:t>
            </w:r>
          </w:p>
          <w:p w:rsidR="00000000" w:rsidRPr="00B762DB" w:rsidP="00B762DB">
            <w:pPr>
              <w:pStyle w:val="ListBullet"/>
            </w:pPr>
            <w:r w:rsidRPr="00B762DB">
              <w:t>timber wedges</w:t>
            </w:r>
          </w:p>
          <w:p w:rsidR="00000000" w:rsidRPr="00B762DB" w:rsidP="00B762DB">
            <w:pPr>
              <w:pStyle w:val="ListBullet"/>
            </w:pPr>
            <w:r w:rsidRPr="00B762DB">
              <w:t>wood chisels</w:t>
            </w:r>
          </w:p>
          <w:p w:rsidR="00000000" w:rsidRPr="00B762DB" w:rsidP="00B762DB">
            <w:pPr>
              <w:pStyle w:val="ListBullet"/>
            </w:pPr>
            <w:r w:rsidRPr="00B762DB">
              <w:t>dowel drill</w:t>
            </w:r>
          </w:p>
          <w:p w:rsidR="00000000" w:rsidRPr="00B762DB" w:rsidP="00B762DB">
            <w:pPr>
              <w:pStyle w:val="ListBullet"/>
            </w:pPr>
            <w:r w:rsidRPr="00B762DB">
              <w:t>long-nose pliers</w:t>
            </w:r>
          </w:p>
          <w:p w:rsidR="00000000" w:rsidRPr="00B762DB" w:rsidP="00B762DB">
            <w:pPr>
              <w:pStyle w:val="ListBullet"/>
            </w:pPr>
            <w:r w:rsidRPr="00B762DB">
              <w:t>floor board lifter</w:t>
            </w:r>
          </w:p>
          <w:p w:rsidR="00000000" w:rsidRPr="00B762DB" w:rsidP="00B762DB">
            <w:pPr>
              <w:pStyle w:val="ListBullet"/>
            </w:pPr>
            <w:r w:rsidRPr="00B762DB">
              <w:t>bricklayer</w:t>
            </w:r>
            <w:r>
              <w:t>’</w:t>
            </w:r>
            <w:r w:rsidRPr="00B762DB">
              <w:t>s bolster</w:t>
            </w:r>
          </w:p>
          <w:p w:rsidR="00000000" w:rsidRPr="00B762DB" w:rsidP="00B762DB">
            <w:pPr>
              <w:pStyle w:val="ListBullet"/>
            </w:pPr>
            <w:r w:rsidRPr="00B762DB">
              <w:t>power drill/screwdriver</w:t>
            </w:r>
          </w:p>
          <w:p w:rsidR="00000000" w:rsidP="00B762DB">
            <w:pPr>
              <w:pStyle w:val="ListBullet"/>
              <w:rPr>
                <w:lang w:val="en-NZ"/>
              </w:rPr>
            </w:pPr>
            <w:r w:rsidRPr="00B762DB">
              <w:t>air compressor and hoses</w:t>
            </w:r>
          </w:p>
        </w:tc>
      </w:tr>
      <w:tr w:rsidTr="00B762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762DB" w:rsidP="00B762DB">
            <w:pPr>
              <w:pStyle w:val="BodyText"/>
            </w:pPr>
            <w:r w:rsidRPr="00B762DB">
              <w:rPr>
                <w:rStyle w:val="SpecialBold"/>
              </w:rPr>
              <w:t>Materials include:</w:t>
            </w:r>
          </w:p>
          <w:p w:rsidR="00000000" w:rsidP="00B762D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762DB" w:rsidP="00B762DB">
            <w:pPr>
              <w:pStyle w:val="ListBullet"/>
            </w:pPr>
            <w:r w:rsidRPr="00B762DB">
              <w:t>timber</w:t>
            </w:r>
          </w:p>
          <w:p w:rsidR="00000000" w:rsidRPr="00B762DB" w:rsidP="00B762DB">
            <w:pPr>
              <w:pStyle w:val="ListBullet"/>
            </w:pPr>
            <w:r w:rsidRPr="00B762DB">
              <w:t>manufactured board</w:t>
            </w:r>
          </w:p>
          <w:p w:rsidR="00000000" w:rsidRPr="00B762DB" w:rsidP="00B762DB">
            <w:pPr>
              <w:pStyle w:val="ListBullet"/>
            </w:pPr>
            <w:r w:rsidRPr="00B762DB">
              <w:t>veneer</w:t>
            </w:r>
          </w:p>
          <w:p w:rsidR="00000000" w:rsidRPr="00B762DB" w:rsidP="00B762DB">
            <w:pPr>
              <w:pStyle w:val="ListBullet"/>
            </w:pPr>
            <w:r w:rsidRPr="00B762DB">
              <w:t>brass</w:t>
            </w:r>
          </w:p>
          <w:p w:rsidR="00000000" w:rsidRPr="00B762DB" w:rsidP="00B762DB">
            <w:pPr>
              <w:pStyle w:val="ListBullet"/>
            </w:pPr>
            <w:r w:rsidRPr="00B762DB">
              <w:t>adhesive</w:t>
            </w:r>
          </w:p>
          <w:p w:rsidR="00000000" w:rsidRPr="00B762DB" w:rsidP="00B762DB">
            <w:pPr>
              <w:pStyle w:val="ListBullet"/>
            </w:pPr>
            <w:r w:rsidRPr="00B762DB">
              <w:t>laminate</w:t>
            </w:r>
          </w:p>
          <w:p w:rsidR="00000000" w:rsidRPr="00B762DB" w:rsidP="00B762DB">
            <w:pPr>
              <w:pStyle w:val="ListBullet"/>
            </w:pPr>
            <w:r w:rsidRPr="00B762DB">
              <w:t>perspex</w:t>
            </w:r>
          </w:p>
          <w:p w:rsidR="00000000" w:rsidP="00B762DB">
            <w:pPr>
              <w:pStyle w:val="ListBullet"/>
              <w:rPr>
                <w:lang w:val="en-NZ"/>
              </w:rPr>
            </w:pPr>
            <w:r w:rsidRPr="00B762DB">
              <w:t>upholstered fittings and foundations</w:t>
            </w:r>
          </w:p>
        </w:tc>
      </w:tr>
      <w:tr w:rsidTr="00B762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762DB" w:rsidP="00B762DB">
            <w:pPr>
              <w:pStyle w:val="BodyText"/>
            </w:pPr>
            <w:r w:rsidRPr="00B762DB">
              <w:rPr>
                <w:rStyle w:val="SpecialBold"/>
              </w:rPr>
              <w:t>Personal protective equipment includes:</w:t>
            </w:r>
          </w:p>
          <w:p w:rsidR="00000000" w:rsidP="00B762D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762DB" w:rsidP="00B762DB">
            <w:pPr>
              <w:pStyle w:val="ListBullet"/>
            </w:pPr>
            <w:r w:rsidRPr="00B762DB">
              <w:t>that prescribed under legislation, regulations and enterprise policies and practices:</w:t>
            </w:r>
          </w:p>
          <w:p w:rsidR="00000000" w:rsidRPr="00B762DB" w:rsidP="00B762DB">
            <w:pPr>
              <w:pStyle w:val="ListBullet2"/>
            </w:pPr>
            <w:r w:rsidRPr="00B762DB">
              <w:t>safety glasses/goggle</w:t>
            </w:r>
          </w:p>
          <w:p w:rsidR="00000000" w:rsidRPr="00B762DB" w:rsidP="00B762DB">
            <w:pPr>
              <w:pStyle w:val="ListBullet2"/>
            </w:pPr>
            <w:r w:rsidRPr="00B762DB">
              <w:t>hair nets</w:t>
            </w:r>
          </w:p>
          <w:p w:rsidR="00000000" w:rsidRPr="00B762DB" w:rsidP="00B762DB">
            <w:pPr>
              <w:pStyle w:val="ListBullet2"/>
            </w:pPr>
            <w:r w:rsidRPr="00B762DB">
              <w:t>ear muffs/plugs</w:t>
            </w:r>
          </w:p>
          <w:p w:rsidR="00000000" w:rsidRPr="00B762DB" w:rsidP="00B762DB">
            <w:pPr>
              <w:pStyle w:val="ListBullet2"/>
            </w:pPr>
            <w:r w:rsidRPr="00B762DB">
              <w:t>gloves</w:t>
            </w:r>
          </w:p>
          <w:p w:rsidR="00000000" w:rsidP="00B762DB">
            <w:pPr>
              <w:pStyle w:val="ListBullet2"/>
              <w:rPr>
                <w:lang w:val="en-NZ"/>
              </w:rPr>
            </w:pPr>
            <w:r w:rsidRPr="00B762DB">
              <w:t>footwear and protective clothing</w:t>
            </w:r>
          </w:p>
        </w:tc>
      </w:tr>
      <w:tr w:rsidTr="00B762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762DB">
            <w:pPr>
              <w:pStyle w:val="BodyText"/>
              <w:rPr>
                <w:lang w:val="en-NZ"/>
              </w:rPr>
            </w:pPr>
            <w:r w:rsidRPr="00B762D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B762DB" w:rsidP="00B762DB">
            <w:pPr>
              <w:pStyle w:val="ListBullet"/>
            </w:pPr>
            <w:r w:rsidRPr="00B762DB">
              <w:t xml:space="preserve">workplace procedures relating to the use of tools and equipment </w:t>
            </w:r>
          </w:p>
          <w:p w:rsidR="00000000" w:rsidRPr="00B762DB" w:rsidP="00B762DB">
            <w:pPr>
              <w:pStyle w:val="ListBullet"/>
            </w:pPr>
            <w:r w:rsidRPr="00B762DB">
              <w:t xml:space="preserve">work instructions, including job sheets, cutting lists, plans, drawings and designs </w:t>
            </w:r>
          </w:p>
          <w:p w:rsidR="00000000" w:rsidRPr="00B762DB" w:rsidP="00B762DB">
            <w:pPr>
              <w:pStyle w:val="ListBullet"/>
            </w:pPr>
            <w:r w:rsidRPr="00B762DB">
              <w:t>workplace procedures relating to re</w:t>
            </w:r>
            <w:r w:rsidRPr="00B762DB">
              <w:t xml:space="preserve">porting and communication </w:t>
            </w:r>
          </w:p>
          <w:p w:rsidR="00000000" w:rsidRPr="00B762DB" w:rsidP="00B762DB">
            <w:pPr>
              <w:pStyle w:val="ListBullet"/>
            </w:pPr>
            <w:r w:rsidRPr="00B762DB">
              <w:t>manufacturer specifications and operational procedures</w:t>
            </w:r>
          </w:p>
        </w:tc>
      </w:tr>
    </w:tbl>
    <w:p w:rsidR="00000000" w:rsidRPr="00B762DB" w:rsidP="00B762DB">
      <w:pPr>
        <w:pStyle w:val="BodyText"/>
      </w:pPr>
    </w:p>
    <w:p w:rsidR="00000000" w:rsidRPr="00B762DB" w:rsidP="00B762DB">
      <w:pPr>
        <w:pStyle w:val="AllowPageBreak"/>
      </w:pPr>
    </w:p>
    <w:p w:rsidR="00000000" w:rsidRPr="00B762DB" w:rsidP="00B762DB">
      <w:pPr>
        <w:pStyle w:val="Heading1"/>
      </w:pPr>
      <w:bookmarkStart w:id="9" w:name="O_620373"/>
      <w:bookmarkEnd w:id="9"/>
      <w:r w:rsidRPr="00B762DB">
        <w:t>Unit Mapping Information</w:t>
      </w:r>
    </w:p>
    <w:p w:rsidR="00000000" w:rsidRPr="00B762DB" w:rsidP="00316484">
      <w:pPr>
        <w:pStyle w:val="BodyText"/>
      </w:pPr>
      <w:r w:rsidRPr="00B762DB">
        <w:t>Supersedes and is equivalent to LMFUP2006B Dismantle/reassemble furniture for upholstering.</w:t>
      </w:r>
    </w:p>
    <w:p w:rsidR="00000000" w:rsidRPr="00B762DB" w:rsidP="00B762DB">
      <w:pPr>
        <w:pStyle w:val="Heading1"/>
      </w:pPr>
      <w:bookmarkStart w:id="10" w:name="O_620380"/>
      <w:bookmarkEnd w:id="10"/>
      <w:r w:rsidRPr="00B762DB">
        <w:t>Links</w:t>
      </w:r>
    </w:p>
    <w:p w:rsidR="00000000" w:rsidRPr="00B762DB" w:rsidP="00316484">
      <w:pPr>
        <w:pStyle w:val="BodyText"/>
      </w:pPr>
      <w:r w:rsidRPr="00B762D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97758">
        <w:rPr>
          <w:rStyle w:val="Hyperlink"/>
        </w:rPr>
        <w:t>https://vetnet.gov.au/Pages/TrainingDocs.aspx?q=0601ab95-583a-4e93-b2d4-cfb27b03ed73</w:t>
      </w:r>
      <w:r>
        <w:fldChar w:fldCharType="end"/>
      </w:r>
    </w:p>
    <w:p w:rsidR="00000000" w:rsidRPr="00B762DB" w:rsidP="00B762DB"/>
    <w:sectPr w:rsidSect="00B762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2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2DB" w:rsidRPr="00316484" w:rsidP="003164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2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484" w:rsidP="00B762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6484" w:rsidP="00B762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6484" w:rsidP="00B762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2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4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62DB" w:rsidRPr="00316484" w:rsidP="003164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2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484" w:rsidRPr="002D2AF8" w:rsidP="00B762DB">
    <w:pPr>
      <w:pStyle w:val="Header"/>
      <w:framePr w:wrap="around"/>
    </w:pPr>
    <w:r>
      <w:fldChar w:fldCharType="begin"/>
    </w:r>
    <w:r>
      <w:instrText xml:space="preserve"> TITLE   \* MERGEFORMAT </w:instrText>
    </w:r>
    <w:r>
      <w:fldChar w:fldCharType="separate"/>
    </w:r>
    <w:r>
      <w:t>MSFUP2006 Dismantle and re-assemble furniture for upholstering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316484" w:rsidP="00B762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0201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1E2F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2E90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2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62DB"/>
    <w:pPr>
      <w:spacing w:before="360" w:after="60"/>
      <w:outlineLvl w:val="0"/>
    </w:pPr>
    <w:rPr>
      <w:sz w:val="32"/>
    </w:rPr>
  </w:style>
  <w:style w:type="paragraph" w:styleId="Heading2">
    <w:name w:val="heading 2"/>
    <w:basedOn w:val="HeadingBase"/>
    <w:next w:val="BodyText"/>
    <w:link w:val="Heading2Char"/>
    <w:qFormat/>
    <w:rsid w:val="00B762DB"/>
    <w:pPr>
      <w:keepLines/>
      <w:spacing w:before="240" w:after="120"/>
      <w:outlineLvl w:val="1"/>
    </w:pPr>
    <w:rPr>
      <w:sz w:val="28"/>
      <w:szCs w:val="40"/>
    </w:rPr>
  </w:style>
  <w:style w:type="paragraph" w:styleId="Heading3">
    <w:name w:val="heading 3"/>
    <w:basedOn w:val="HeadingBase"/>
    <w:next w:val="BodyText"/>
    <w:link w:val="Heading3Char"/>
    <w:qFormat/>
    <w:rsid w:val="00B762DB"/>
    <w:pPr>
      <w:spacing w:before="180" w:after="120"/>
      <w:outlineLvl w:val="2"/>
    </w:pPr>
    <w:rPr>
      <w:spacing w:val="-10"/>
      <w:kern w:val="32"/>
    </w:rPr>
  </w:style>
  <w:style w:type="paragraph" w:styleId="Heading4">
    <w:name w:val="heading 4"/>
    <w:basedOn w:val="HeadingBase"/>
    <w:next w:val="BodyText"/>
    <w:link w:val="Heading4Char"/>
    <w:qFormat/>
    <w:rsid w:val="00B762DB"/>
    <w:pPr>
      <w:spacing w:before="160" w:after="120"/>
      <w:outlineLvl w:val="3"/>
    </w:pPr>
    <w:rPr>
      <w:sz w:val="22"/>
    </w:rPr>
  </w:style>
  <w:style w:type="paragraph" w:styleId="Heading5">
    <w:name w:val="heading 5"/>
    <w:basedOn w:val="HeadingBase"/>
    <w:next w:val="Normal"/>
    <w:link w:val="Heading5Char"/>
    <w:qFormat/>
    <w:rsid w:val="00B762DB"/>
    <w:pPr>
      <w:spacing w:before="80"/>
      <w:outlineLvl w:val="4"/>
    </w:pPr>
    <w:rPr>
      <w:color w:val="918585"/>
      <w:sz w:val="20"/>
    </w:rPr>
  </w:style>
  <w:style w:type="paragraph" w:styleId="Heading6">
    <w:name w:val="heading 6"/>
    <w:basedOn w:val="HeadingBase"/>
    <w:next w:val="Normal"/>
    <w:link w:val="Heading6Char"/>
    <w:qFormat/>
    <w:rsid w:val="00B762DB"/>
    <w:pPr>
      <w:spacing w:before="60"/>
      <w:outlineLvl w:val="5"/>
    </w:pPr>
    <w:rPr>
      <w:color w:val="918585"/>
      <w:sz w:val="20"/>
    </w:rPr>
  </w:style>
  <w:style w:type="paragraph" w:styleId="Heading7">
    <w:name w:val="heading 7"/>
    <w:basedOn w:val="Normal"/>
    <w:next w:val="Normal"/>
    <w:link w:val="Heading7Char"/>
    <w:qFormat/>
    <w:rsid w:val="00B762DB"/>
    <w:pPr>
      <w:ind w:left="720"/>
      <w:outlineLvl w:val="6"/>
    </w:pPr>
    <w:rPr>
      <w:i/>
    </w:rPr>
  </w:style>
  <w:style w:type="paragraph" w:styleId="Heading8">
    <w:name w:val="heading 8"/>
    <w:basedOn w:val="Normal"/>
    <w:next w:val="Normal"/>
    <w:link w:val="Heading8Char"/>
    <w:qFormat/>
    <w:rsid w:val="00B762DB"/>
    <w:pPr>
      <w:ind w:left="720"/>
      <w:outlineLvl w:val="7"/>
    </w:pPr>
    <w:rPr>
      <w:i/>
    </w:rPr>
  </w:style>
  <w:style w:type="paragraph" w:styleId="Heading9">
    <w:name w:val="heading 9"/>
    <w:basedOn w:val="Normal"/>
    <w:next w:val="Normal"/>
    <w:link w:val="Heading9Char"/>
    <w:qFormat/>
    <w:rsid w:val="00B762DB"/>
    <w:pPr>
      <w:ind w:left="720"/>
      <w:outlineLvl w:val="8"/>
    </w:pPr>
    <w:rPr>
      <w:i/>
    </w:rPr>
  </w:style>
  <w:style w:type="character" w:default="1" w:styleId="DefaultParagraphFont">
    <w:name w:val="Default Paragraph Font"/>
    <w:uiPriority w:val="1"/>
    <w:unhideWhenUsed/>
    <w:rsid w:val="00B762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2DB"/>
  </w:style>
  <w:style w:type="character" w:customStyle="1" w:styleId="Heading1Char">
    <w:name w:val="Heading 1 Char"/>
    <w:basedOn w:val="DefaultParagraphFont"/>
    <w:link w:val="Heading1"/>
    <w:rsid w:val="00B762DB"/>
    <w:rPr>
      <w:rFonts w:ascii="Times New Roman" w:eastAsia="Times New Roman" w:hAnsi="Times New Roman" w:cs="Times New Roman"/>
      <w:b/>
      <w:sz w:val="32"/>
      <w:szCs w:val="20"/>
      <w:lang w:eastAsia="en-US"/>
    </w:rPr>
  </w:style>
  <w:style w:type="paragraph" w:styleId="BodyText">
    <w:name w:val="Body Text"/>
    <w:basedOn w:val="Normal"/>
    <w:link w:val="BodyTextChar"/>
    <w:rsid w:val="00B762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62DB"/>
    <w:rPr>
      <w:rFonts w:ascii="Times New Roman" w:eastAsia="Times New Roman" w:hAnsi="Times New Roman" w:cs="Times New Roman"/>
      <w:sz w:val="24"/>
      <w:lang w:eastAsia="en-US"/>
    </w:rPr>
  </w:style>
  <w:style w:type="paragraph" w:styleId="ListBullet">
    <w:name w:val="List Bullet"/>
    <w:basedOn w:val="List"/>
    <w:rsid w:val="00B762DB"/>
    <w:pPr>
      <w:numPr>
        <w:numId w:val="12"/>
      </w:numPr>
      <w:tabs>
        <w:tab w:val="clear" w:pos="340"/>
      </w:tabs>
      <w:spacing w:before="40" w:after="40"/>
    </w:pPr>
  </w:style>
  <w:style w:type="character" w:customStyle="1" w:styleId="SpecialBold">
    <w:name w:val="Special Bold"/>
    <w:basedOn w:val="DefaultParagraphFont"/>
    <w:rsid w:val="00B762DB"/>
    <w:rPr>
      <w:b/>
      <w:spacing w:val="0"/>
    </w:rPr>
  </w:style>
  <w:style w:type="paragraph" w:styleId="ListBullet2">
    <w:name w:val="List Bullet 2"/>
    <w:basedOn w:val="List2"/>
    <w:rsid w:val="00B762DB"/>
    <w:pPr>
      <w:numPr>
        <w:numId w:val="13"/>
      </w:numPr>
      <w:tabs>
        <w:tab w:val="clear" w:pos="680"/>
      </w:tabs>
    </w:pPr>
  </w:style>
  <w:style w:type="paragraph" w:customStyle="1" w:styleId="SuperHeading">
    <w:name w:val="SuperHeading"/>
    <w:basedOn w:val="Normal"/>
    <w:rsid w:val="00B762DB"/>
    <w:pPr>
      <w:spacing w:before="240" w:after="120"/>
      <w:outlineLvl w:val="0"/>
    </w:pPr>
    <w:rPr>
      <w:rFonts w:ascii="Times New Roman" w:hAnsi="Times New Roman"/>
      <w:b/>
      <w:sz w:val="32"/>
    </w:rPr>
  </w:style>
  <w:style w:type="paragraph" w:customStyle="1" w:styleId="AllowPageBreak">
    <w:name w:val="AllowPageBreak"/>
    <w:rsid w:val="00B762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62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2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2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2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2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2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62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62DB"/>
    <w:rPr>
      <w:rFonts w:ascii="Courier New" w:eastAsia="Times New Roman" w:hAnsi="Courier New" w:cs="Times New Roman"/>
      <w:i/>
      <w:szCs w:val="20"/>
      <w:lang w:eastAsia="en-US"/>
    </w:rPr>
  </w:style>
  <w:style w:type="paragraph" w:customStyle="1" w:styleId="HeadingBase">
    <w:name w:val="Heading Base"/>
    <w:rsid w:val="00B762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2DB"/>
    <w:pPr>
      <w:tabs>
        <w:tab w:val="right" w:leader="dot" w:pos="9072"/>
      </w:tabs>
      <w:ind w:left="567"/>
    </w:pPr>
    <w:rPr>
      <w:szCs w:val="22"/>
    </w:rPr>
  </w:style>
  <w:style w:type="paragraph" w:customStyle="1" w:styleId="TOCBase">
    <w:name w:val="TOC Base"/>
    <w:rsid w:val="00B762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2DB"/>
    <w:pPr>
      <w:tabs>
        <w:tab w:val="right" w:leader="dot" w:pos="9072"/>
      </w:tabs>
      <w:spacing w:before="40" w:after="40"/>
      <w:ind w:left="284"/>
    </w:pPr>
    <w:rPr>
      <w:rFonts w:ascii="Times New Roman" w:hAnsi="Times New Roman"/>
    </w:rPr>
  </w:style>
  <w:style w:type="paragraph" w:styleId="TOC1">
    <w:name w:val="toc 1"/>
    <w:basedOn w:val="TOCBase"/>
    <w:next w:val="Normal"/>
    <w:rsid w:val="00B762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62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2DB"/>
    <w:rPr>
      <w:rFonts w:ascii="Times New Roman" w:eastAsia="Times New Roman" w:hAnsi="Times New Roman" w:cs="Times New Roman"/>
      <w:sz w:val="16"/>
      <w:lang w:eastAsia="en-US"/>
    </w:rPr>
  </w:style>
  <w:style w:type="paragraph" w:styleId="Title">
    <w:name w:val="Title"/>
    <w:basedOn w:val="HeadingBase"/>
    <w:link w:val="TitleChar"/>
    <w:qFormat/>
    <w:rsid w:val="00B762DB"/>
    <w:pPr>
      <w:spacing w:before="5040"/>
      <w:jc w:val="center"/>
    </w:pPr>
    <w:rPr>
      <w:sz w:val="48"/>
      <w:szCs w:val="72"/>
      <w:lang w:val="en-US"/>
    </w:rPr>
  </w:style>
  <w:style w:type="character" w:customStyle="1" w:styleId="TitleChar">
    <w:name w:val="Title Char"/>
    <w:basedOn w:val="DefaultParagraphFont"/>
    <w:link w:val="Title"/>
    <w:rsid w:val="00B762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2DB"/>
    <w:pPr>
      <w:tabs>
        <w:tab w:val="left" w:pos="3600"/>
        <w:tab w:val="left" w:pos="3958"/>
      </w:tabs>
    </w:pPr>
  </w:style>
  <w:style w:type="paragraph" w:styleId="List">
    <w:name w:val="List"/>
    <w:basedOn w:val="BodyText"/>
    <w:next w:val="BodyText"/>
    <w:rsid w:val="00B762DB"/>
    <w:pPr>
      <w:tabs>
        <w:tab w:val="left" w:pos="340"/>
      </w:tabs>
      <w:spacing w:before="60" w:after="60"/>
      <w:ind w:left="340" w:hanging="340"/>
    </w:pPr>
  </w:style>
  <w:style w:type="paragraph" w:customStyle="1" w:styleId="Note">
    <w:name w:val="Note"/>
    <w:basedOn w:val="BodyText"/>
    <w:rsid w:val="00B762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2DB"/>
    <w:pPr>
      <w:framePr w:wrap="auto" w:hAnchor="text" w:y="6049"/>
    </w:pPr>
    <w:rPr>
      <w:color w:val="000000"/>
      <w:sz w:val="40"/>
    </w:rPr>
  </w:style>
  <w:style w:type="paragraph" w:customStyle="1" w:styleId="TOCTitle">
    <w:name w:val="TOCTitle"/>
    <w:basedOn w:val="Heading1"/>
    <w:rsid w:val="00B762DB"/>
    <w:pPr>
      <w:spacing w:after="240"/>
      <w:jc w:val="center"/>
      <w:outlineLvl w:val="9"/>
    </w:pPr>
    <w:rPr>
      <w:caps/>
    </w:rPr>
  </w:style>
  <w:style w:type="paragraph" w:customStyle="1" w:styleId="Version">
    <w:name w:val="Version"/>
    <w:rsid w:val="00B762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62DB"/>
    <w:pPr>
      <w:keepNext w:val="0"/>
      <w:tabs>
        <w:tab w:val="right" w:pos="4176"/>
      </w:tabs>
      <w:ind w:left="198" w:hanging="198"/>
    </w:pPr>
    <w:rPr>
      <w:rFonts w:ascii="Garamond" w:hAnsi="Garamond"/>
    </w:rPr>
  </w:style>
  <w:style w:type="paragraph" w:styleId="IndexHeading">
    <w:name w:val="index heading"/>
    <w:basedOn w:val="Normal"/>
    <w:next w:val="Index1"/>
    <w:semiHidden/>
    <w:rsid w:val="00B762DB"/>
    <w:pPr>
      <w:spacing w:before="120" w:after="120"/>
    </w:pPr>
    <w:rPr>
      <w:rFonts w:ascii="Arial" w:hAnsi="Arial"/>
      <w:b/>
      <w:color w:val="918585"/>
      <w:sz w:val="24"/>
    </w:rPr>
  </w:style>
  <w:style w:type="paragraph" w:styleId="Header">
    <w:name w:val="header"/>
    <w:basedOn w:val="Normal"/>
    <w:link w:val="HeaderChar"/>
    <w:rsid w:val="00B762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2DB"/>
    <w:rPr>
      <w:rFonts w:ascii="Times New Roman" w:eastAsia="Times New Roman" w:hAnsi="Times New Roman" w:cs="Times New Roman"/>
      <w:sz w:val="16"/>
      <w:szCs w:val="20"/>
      <w:lang w:val="en-GB" w:eastAsia="en-US"/>
    </w:rPr>
  </w:style>
  <w:style w:type="paragraph" w:customStyle="1" w:styleId="Chapter">
    <w:name w:val="Chapter"/>
    <w:basedOn w:val="Normal"/>
    <w:rsid w:val="00B762DB"/>
    <w:pPr>
      <w:spacing w:before="240"/>
    </w:pPr>
    <w:rPr>
      <w:rFonts w:ascii="Times New Roman" w:hAnsi="Times New Roman"/>
      <w:smallCaps/>
      <w:spacing w:val="80"/>
      <w:sz w:val="28"/>
    </w:rPr>
  </w:style>
  <w:style w:type="paragraph" w:customStyle="1" w:styleId="InChapter">
    <w:name w:val="InChapter"/>
    <w:basedOn w:val="Heading3"/>
    <w:rsid w:val="00B762DB"/>
    <w:pPr>
      <w:spacing w:after="240"/>
      <w:outlineLvl w:val="9"/>
    </w:pPr>
    <w:rPr>
      <w:noProof/>
    </w:rPr>
  </w:style>
  <w:style w:type="paragraph" w:styleId="Index2">
    <w:name w:val="index 2"/>
    <w:basedOn w:val="Normal"/>
    <w:next w:val="Normal"/>
    <w:semiHidden/>
    <w:rsid w:val="00B762DB"/>
    <w:pPr>
      <w:tabs>
        <w:tab w:val="right" w:pos="4176"/>
      </w:tabs>
      <w:ind w:left="568" w:hanging="284"/>
    </w:pPr>
    <w:rPr>
      <w:rFonts w:ascii="Garamond" w:hAnsi="Garamond"/>
    </w:rPr>
  </w:style>
  <w:style w:type="paragraph" w:customStyle="1" w:styleId="Byline">
    <w:name w:val="Byline"/>
    <w:rsid w:val="00B762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2DB"/>
    <w:pPr>
      <w:tabs>
        <w:tab w:val="clear" w:pos="3600"/>
        <w:tab w:val="clear" w:pos="3958"/>
      </w:tabs>
      <w:jc w:val="right"/>
    </w:pPr>
  </w:style>
  <w:style w:type="character" w:styleId="Emphasis">
    <w:name w:val="Emphasis"/>
    <w:basedOn w:val="DefaultParagraphFont"/>
    <w:qFormat/>
    <w:rsid w:val="00B762DB"/>
    <w:rPr>
      <w:i/>
    </w:rPr>
  </w:style>
  <w:style w:type="paragraph" w:styleId="Caption">
    <w:name w:val="caption"/>
    <w:basedOn w:val="BodyText"/>
    <w:next w:val="Normal"/>
    <w:qFormat/>
    <w:rsid w:val="00B762DB"/>
    <w:pPr>
      <w:framePr w:w="2268" w:hSpace="181" w:vSpace="181" w:wrap="around" w:vAnchor="text" w:hAnchor="page" w:x="1135" w:y="285" w:anchorLock="1"/>
    </w:pPr>
    <w:rPr>
      <w:i/>
    </w:rPr>
  </w:style>
  <w:style w:type="paragraph" w:customStyle="1" w:styleId="MiniTOCTitle">
    <w:name w:val="MiniTOCTitle"/>
    <w:basedOn w:val="Heading4"/>
    <w:rsid w:val="00B762DB"/>
    <w:pPr>
      <w:spacing w:before="240"/>
      <w:outlineLvl w:val="9"/>
    </w:pPr>
    <w:rPr>
      <w:noProof/>
      <w:sz w:val="24"/>
    </w:rPr>
  </w:style>
  <w:style w:type="paragraph" w:customStyle="1" w:styleId="MiniTOCItem">
    <w:name w:val="MiniTOCItem"/>
    <w:basedOn w:val="ListBullet"/>
    <w:rsid w:val="00B762DB"/>
    <w:pPr>
      <w:numPr>
        <w:numId w:val="0"/>
      </w:numPr>
      <w:tabs>
        <w:tab w:val="right" w:leader="dot" w:pos="6521"/>
      </w:tabs>
      <w:spacing w:before="0" w:after="0"/>
    </w:pPr>
  </w:style>
  <w:style w:type="paragraph" w:customStyle="1" w:styleId="TOFTitle">
    <w:name w:val="TOFTitle"/>
    <w:basedOn w:val="TOCTitle"/>
    <w:rsid w:val="00B762DB"/>
  </w:style>
  <w:style w:type="paragraph" w:styleId="TableofFigures">
    <w:name w:val="table of figures"/>
    <w:basedOn w:val="Normal"/>
    <w:next w:val="Normal"/>
    <w:semiHidden/>
    <w:rsid w:val="00B762DB"/>
    <w:pPr>
      <w:tabs>
        <w:tab w:val="right" w:leader="dot" w:pos="9072"/>
      </w:tabs>
      <w:ind w:left="970" w:hanging="403"/>
    </w:pPr>
    <w:rPr>
      <w:rFonts w:ascii="Times New Roman" w:hAnsi="Times New Roman"/>
      <w:b/>
    </w:rPr>
  </w:style>
  <w:style w:type="paragraph" w:styleId="ListNumber">
    <w:name w:val="List Number"/>
    <w:basedOn w:val="List"/>
    <w:rsid w:val="00B762DB"/>
    <w:pPr>
      <w:numPr>
        <w:numId w:val="15"/>
      </w:numPr>
      <w:tabs>
        <w:tab w:val="clear" w:pos="340"/>
      </w:tabs>
    </w:pPr>
  </w:style>
  <w:style w:type="character" w:customStyle="1" w:styleId="WingdingSymbols">
    <w:name w:val="Wingding Symbols"/>
    <w:rsid w:val="00B762DB"/>
    <w:rPr>
      <w:rFonts w:ascii="Wingdings" w:hAnsi="Wingdings"/>
    </w:rPr>
  </w:style>
  <w:style w:type="paragraph" w:customStyle="1" w:styleId="TableHeading">
    <w:name w:val="Table Heading"/>
    <w:basedOn w:val="HeadingBase"/>
    <w:rsid w:val="00B762DB"/>
    <w:pPr>
      <w:keepLines/>
      <w:pBdr>
        <w:bottom w:val="single" w:sz="6" w:space="1" w:color="918585"/>
      </w:pBdr>
      <w:spacing w:before="240"/>
    </w:pPr>
  </w:style>
  <w:style w:type="character" w:customStyle="1" w:styleId="HotSpot">
    <w:name w:val="HotSpot"/>
    <w:rsid w:val="00B762DB"/>
    <w:rPr>
      <w:color w:val="0033CC"/>
      <w:u w:val="none"/>
    </w:rPr>
  </w:style>
  <w:style w:type="paragraph" w:customStyle="1" w:styleId="BodyTextRight">
    <w:name w:val="Body Text Right"/>
    <w:basedOn w:val="BodyText"/>
    <w:rsid w:val="00B762DB"/>
    <w:pPr>
      <w:spacing w:before="0" w:after="0"/>
      <w:jc w:val="right"/>
    </w:pPr>
  </w:style>
  <w:style w:type="paragraph" w:styleId="Index3">
    <w:name w:val="index 3"/>
    <w:basedOn w:val="ListNumber2"/>
    <w:next w:val="Normal"/>
    <w:semiHidden/>
    <w:rsid w:val="00B762DB"/>
    <w:pPr>
      <w:numPr>
        <w:numId w:val="0"/>
      </w:numPr>
      <w:tabs>
        <w:tab w:val="right" w:leader="dot" w:pos="4176"/>
      </w:tabs>
    </w:pPr>
  </w:style>
  <w:style w:type="paragraph" w:styleId="ListNumber2">
    <w:name w:val="List Number 2"/>
    <w:basedOn w:val="List2"/>
    <w:rsid w:val="00B762DB"/>
    <w:pPr>
      <w:numPr>
        <w:numId w:val="10"/>
      </w:numPr>
      <w:tabs>
        <w:tab w:val="clear" w:pos="1060"/>
      </w:tabs>
    </w:pPr>
  </w:style>
  <w:style w:type="paragraph" w:customStyle="1" w:styleId="MarginNote">
    <w:name w:val="Margin Note"/>
    <w:basedOn w:val="BodyText"/>
    <w:rsid w:val="00B762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2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2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62DB"/>
    <w:rPr>
      <w:sz w:val="32"/>
    </w:rPr>
  </w:style>
  <w:style w:type="paragraph" w:customStyle="1" w:styleId="HeadingProcedure">
    <w:name w:val="Heading Procedure"/>
    <w:basedOn w:val="HeadingBase"/>
    <w:next w:val="Normal"/>
    <w:rsid w:val="00B762DB"/>
    <w:pPr>
      <w:tabs>
        <w:tab w:val="left" w:pos="0"/>
      </w:tabs>
      <w:spacing w:before="120" w:after="60"/>
    </w:pPr>
    <w:rPr>
      <w:i/>
      <w:color w:val="918585"/>
      <w:sz w:val="22"/>
    </w:rPr>
  </w:style>
  <w:style w:type="paragraph" w:customStyle="1" w:styleId="TableBodyText">
    <w:name w:val="Table Body Text"/>
    <w:basedOn w:val="BodyText"/>
    <w:rsid w:val="00B762DB"/>
    <w:pPr>
      <w:spacing w:before="60" w:after="60"/>
    </w:pPr>
  </w:style>
  <w:style w:type="paragraph" w:styleId="ListContinue">
    <w:name w:val="List Continue"/>
    <w:basedOn w:val="List"/>
    <w:rsid w:val="00B762DB"/>
    <w:pPr>
      <w:ind w:firstLine="0"/>
    </w:pPr>
  </w:style>
  <w:style w:type="paragraph" w:customStyle="1" w:styleId="ListNote">
    <w:name w:val="List Note"/>
    <w:basedOn w:val="List"/>
    <w:rsid w:val="00B762DB"/>
    <w:pPr>
      <w:pBdr>
        <w:top w:val="single" w:sz="6" w:space="2" w:color="918585"/>
        <w:bottom w:val="single" w:sz="6" w:space="2" w:color="918585"/>
      </w:pBdr>
      <w:tabs>
        <w:tab w:val="left" w:pos="1021"/>
      </w:tabs>
      <w:ind w:firstLine="0"/>
    </w:pPr>
  </w:style>
  <w:style w:type="paragraph" w:customStyle="1" w:styleId="Warning">
    <w:name w:val="Warning"/>
    <w:basedOn w:val="BodyText"/>
    <w:rsid w:val="00B762DB"/>
    <w:pPr>
      <w:shd w:val="clear" w:color="auto" w:fill="D9D9D9"/>
      <w:tabs>
        <w:tab w:val="left" w:pos="992"/>
      </w:tabs>
      <w:ind w:left="119" w:right="119"/>
    </w:pPr>
    <w:rPr>
      <w:sz w:val="20"/>
    </w:rPr>
  </w:style>
  <w:style w:type="paragraph" w:customStyle="1" w:styleId="MarginIcons">
    <w:name w:val="Margin Icons"/>
    <w:basedOn w:val="BodyText"/>
    <w:rsid w:val="00B762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2DB"/>
    <w:rPr>
      <w:rFonts w:ascii="Courier New" w:hAnsi="Courier New"/>
    </w:rPr>
  </w:style>
  <w:style w:type="paragraph" w:customStyle="1" w:styleId="NoteBullet">
    <w:name w:val="Note Bullet"/>
    <w:basedOn w:val="Note"/>
    <w:rsid w:val="00B762DB"/>
    <w:pPr>
      <w:tabs>
        <w:tab w:val="clear" w:pos="680"/>
      </w:tabs>
      <w:spacing w:before="60" w:after="60"/>
    </w:pPr>
  </w:style>
  <w:style w:type="paragraph" w:customStyle="1" w:styleId="SubHeading2">
    <w:name w:val="SubHeading2"/>
    <w:basedOn w:val="HeadingBase"/>
    <w:rsid w:val="00B762DB"/>
    <w:pPr>
      <w:spacing w:before="240" w:after="60"/>
    </w:pPr>
    <w:rPr>
      <w:sz w:val="20"/>
    </w:rPr>
  </w:style>
  <w:style w:type="paragraph" w:customStyle="1" w:styleId="SubHeading1">
    <w:name w:val="SubHeading1"/>
    <w:basedOn w:val="HeadingBase"/>
    <w:rsid w:val="00B762DB"/>
    <w:pPr>
      <w:spacing w:before="240" w:after="60"/>
    </w:pPr>
    <w:rPr>
      <w:color w:val="918585"/>
      <w:sz w:val="22"/>
    </w:rPr>
  </w:style>
  <w:style w:type="paragraph" w:customStyle="1" w:styleId="SideHeading">
    <w:name w:val="Side Heading"/>
    <w:basedOn w:val="HeadingBase"/>
    <w:rsid w:val="00B762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2DB"/>
    <w:pPr>
      <w:tabs>
        <w:tab w:val="num" w:pos="360"/>
      </w:tabs>
    </w:pPr>
  </w:style>
  <w:style w:type="paragraph" w:styleId="PlainText">
    <w:name w:val="Plain Text"/>
    <w:basedOn w:val="Normal"/>
    <w:link w:val="PlainTextChar"/>
    <w:rsid w:val="00B762DB"/>
    <w:rPr>
      <w:sz w:val="20"/>
    </w:rPr>
  </w:style>
  <w:style w:type="character" w:customStyle="1" w:styleId="PlainTextChar">
    <w:name w:val="Plain Text Char"/>
    <w:basedOn w:val="DefaultParagraphFont"/>
    <w:link w:val="PlainText"/>
    <w:rsid w:val="00B762DB"/>
    <w:rPr>
      <w:rFonts w:ascii="Courier New" w:eastAsia="Times New Roman" w:hAnsi="Courier New" w:cs="Times New Roman"/>
      <w:sz w:val="20"/>
      <w:szCs w:val="20"/>
      <w:lang w:eastAsia="en-US"/>
    </w:rPr>
  </w:style>
  <w:style w:type="character" w:customStyle="1" w:styleId="MenuOption">
    <w:name w:val="Menu Option"/>
    <w:basedOn w:val="DefaultParagraphFont"/>
    <w:rsid w:val="00B762DB"/>
    <w:rPr>
      <w:b/>
      <w:smallCaps/>
    </w:rPr>
  </w:style>
  <w:style w:type="paragraph" w:customStyle="1" w:styleId="TableListNumber">
    <w:name w:val="Table List Number"/>
    <w:basedOn w:val="ListNumber"/>
    <w:rsid w:val="00B762DB"/>
    <w:pPr>
      <w:numPr>
        <w:numId w:val="0"/>
      </w:numPr>
    </w:pPr>
  </w:style>
  <w:style w:type="paragraph" w:styleId="TOC4">
    <w:name w:val="toc 4"/>
    <w:basedOn w:val="TOCBase"/>
    <w:next w:val="Normal"/>
    <w:semiHidden/>
    <w:rsid w:val="00B762DB"/>
    <w:pPr>
      <w:tabs>
        <w:tab w:val="right" w:leader="dot" w:pos="9071"/>
      </w:tabs>
      <w:ind w:left="1701"/>
    </w:pPr>
  </w:style>
  <w:style w:type="paragraph" w:customStyle="1" w:styleId="ListAlpha">
    <w:name w:val="List Alpha"/>
    <w:basedOn w:val="List"/>
    <w:rsid w:val="00B762DB"/>
    <w:pPr>
      <w:numPr>
        <w:numId w:val="9"/>
      </w:numPr>
    </w:pPr>
  </w:style>
  <w:style w:type="paragraph" w:customStyle="1" w:styleId="ListAlpha2">
    <w:name w:val="List Alpha 2"/>
    <w:basedOn w:val="List2"/>
    <w:rsid w:val="00B762DB"/>
    <w:pPr>
      <w:numPr>
        <w:numId w:val="8"/>
      </w:numPr>
    </w:pPr>
  </w:style>
  <w:style w:type="paragraph" w:styleId="List2">
    <w:name w:val="List 2"/>
    <w:basedOn w:val="BodyText"/>
    <w:rsid w:val="00B762DB"/>
    <w:pPr>
      <w:tabs>
        <w:tab w:val="left" w:pos="680"/>
      </w:tabs>
      <w:spacing w:before="60" w:after="60"/>
      <w:ind w:left="680" w:hanging="340"/>
    </w:pPr>
  </w:style>
  <w:style w:type="paragraph" w:styleId="List3">
    <w:name w:val="List 3"/>
    <w:basedOn w:val="BodyText"/>
    <w:rsid w:val="00B762DB"/>
    <w:pPr>
      <w:tabs>
        <w:tab w:val="left" w:pos="1021"/>
      </w:tabs>
      <w:spacing w:before="60" w:after="60"/>
      <w:ind w:left="1020" w:hanging="340"/>
    </w:pPr>
  </w:style>
  <w:style w:type="paragraph" w:styleId="List4">
    <w:name w:val="List 4"/>
    <w:basedOn w:val="BodyText"/>
    <w:rsid w:val="00B762DB"/>
    <w:pPr>
      <w:tabs>
        <w:tab w:val="left" w:pos="1361"/>
      </w:tabs>
      <w:spacing w:before="60" w:after="60"/>
      <w:ind w:left="1361" w:hanging="340"/>
    </w:pPr>
  </w:style>
  <w:style w:type="paragraph" w:styleId="List5">
    <w:name w:val="List 5"/>
    <w:basedOn w:val="BodyText"/>
    <w:rsid w:val="00B762DB"/>
    <w:pPr>
      <w:tabs>
        <w:tab w:val="left" w:pos="1701"/>
      </w:tabs>
      <w:spacing w:before="60" w:after="60"/>
      <w:ind w:left="1701" w:hanging="340"/>
    </w:pPr>
  </w:style>
  <w:style w:type="paragraph" w:styleId="ListBullet3">
    <w:name w:val="List Bullet 3"/>
    <w:basedOn w:val="List3"/>
    <w:rsid w:val="00B762DB"/>
    <w:pPr>
      <w:numPr>
        <w:numId w:val="14"/>
      </w:numPr>
      <w:tabs>
        <w:tab w:val="clear" w:pos="1021"/>
      </w:tabs>
      <w:ind w:left="1037" w:hanging="357"/>
    </w:pPr>
  </w:style>
  <w:style w:type="paragraph" w:styleId="ListBullet4">
    <w:name w:val="List Bullet 4"/>
    <w:basedOn w:val="List4"/>
    <w:rsid w:val="00B762DB"/>
    <w:pPr>
      <w:numPr>
        <w:numId w:val="3"/>
      </w:numPr>
      <w:tabs>
        <w:tab w:val="clear" w:pos="1361"/>
      </w:tabs>
    </w:pPr>
  </w:style>
  <w:style w:type="paragraph" w:styleId="ListBullet5">
    <w:name w:val="List Bullet 5"/>
    <w:basedOn w:val="List5"/>
    <w:rsid w:val="00B762DB"/>
    <w:pPr>
      <w:numPr>
        <w:numId w:val="4"/>
      </w:numPr>
    </w:pPr>
  </w:style>
  <w:style w:type="paragraph" w:styleId="ListContinue2">
    <w:name w:val="List Continue 2"/>
    <w:basedOn w:val="List2"/>
    <w:rsid w:val="00B762DB"/>
    <w:pPr>
      <w:ind w:firstLine="0"/>
    </w:pPr>
  </w:style>
  <w:style w:type="paragraph" w:styleId="ListContinue3">
    <w:name w:val="List Continue 3"/>
    <w:basedOn w:val="List3"/>
    <w:rsid w:val="00B762DB"/>
    <w:pPr>
      <w:ind w:left="1021" w:firstLine="0"/>
    </w:pPr>
  </w:style>
  <w:style w:type="paragraph" w:styleId="ListContinue4">
    <w:name w:val="List Continue 4"/>
    <w:basedOn w:val="List4"/>
    <w:rsid w:val="00B762DB"/>
    <w:pPr>
      <w:ind w:firstLine="0"/>
    </w:pPr>
  </w:style>
  <w:style w:type="paragraph" w:styleId="ListContinue5">
    <w:name w:val="List Continue 5"/>
    <w:basedOn w:val="List5"/>
    <w:rsid w:val="00B762DB"/>
    <w:pPr>
      <w:ind w:firstLine="0"/>
    </w:pPr>
  </w:style>
  <w:style w:type="paragraph" w:styleId="ListNumber3">
    <w:name w:val="List Number 3"/>
    <w:basedOn w:val="List3"/>
    <w:rsid w:val="00B762DB"/>
    <w:pPr>
      <w:numPr>
        <w:numId w:val="5"/>
      </w:numPr>
    </w:pPr>
  </w:style>
  <w:style w:type="paragraph" w:styleId="ListNumber4">
    <w:name w:val="List Number 4"/>
    <w:basedOn w:val="List4"/>
    <w:rsid w:val="00B762DB"/>
    <w:pPr>
      <w:numPr>
        <w:numId w:val="6"/>
      </w:numPr>
    </w:pPr>
  </w:style>
  <w:style w:type="paragraph" w:styleId="ListNumber5">
    <w:name w:val="List Number 5"/>
    <w:basedOn w:val="List5"/>
    <w:rsid w:val="00B762DB"/>
    <w:pPr>
      <w:numPr>
        <w:numId w:val="7"/>
      </w:numPr>
    </w:pPr>
  </w:style>
  <w:style w:type="paragraph" w:styleId="BlockText">
    <w:name w:val="Block Text"/>
    <w:basedOn w:val="Normal"/>
    <w:rsid w:val="00B762DB"/>
    <w:pPr>
      <w:spacing w:after="120"/>
      <w:ind w:left="1440" w:right="1440"/>
    </w:pPr>
  </w:style>
  <w:style w:type="character" w:customStyle="1" w:styleId="Subscript">
    <w:name w:val="Subscript"/>
    <w:basedOn w:val="DefaultParagraphFont"/>
    <w:rsid w:val="00B762DB"/>
    <w:rPr>
      <w:sz w:val="16"/>
      <w:vertAlign w:val="subscript"/>
    </w:rPr>
  </w:style>
  <w:style w:type="character" w:customStyle="1" w:styleId="Superscript">
    <w:name w:val="Superscript"/>
    <w:basedOn w:val="DefaultParagraphFont"/>
    <w:rsid w:val="00B762DB"/>
    <w:rPr>
      <w:sz w:val="16"/>
      <w:vertAlign w:val="superscript"/>
    </w:rPr>
  </w:style>
  <w:style w:type="character" w:customStyle="1" w:styleId="Symbols">
    <w:name w:val="Symbols"/>
    <w:basedOn w:val="DefaultParagraphFont"/>
    <w:rsid w:val="00B762DB"/>
    <w:rPr>
      <w:rFonts w:ascii="Symbol" w:hAnsi="Symbol"/>
    </w:rPr>
  </w:style>
  <w:style w:type="character" w:customStyle="1" w:styleId="MenuOptions">
    <w:name w:val="Menu Options"/>
    <w:basedOn w:val="DefaultParagraphFont"/>
    <w:rsid w:val="00B762DB"/>
    <w:rPr>
      <w:rFonts w:ascii="Arial Narrow" w:hAnsi="Arial Narrow"/>
      <w:smallCaps/>
    </w:rPr>
  </w:style>
  <w:style w:type="character" w:customStyle="1" w:styleId="Buttons">
    <w:name w:val="Buttons"/>
    <w:basedOn w:val="DefaultParagraphFont"/>
    <w:rsid w:val="00B762DB"/>
    <w:rPr>
      <w:b/>
    </w:rPr>
  </w:style>
  <w:style w:type="character" w:customStyle="1" w:styleId="Underlined">
    <w:name w:val="Underlined"/>
    <w:basedOn w:val="DefaultParagraphFont"/>
    <w:rsid w:val="00B762DB"/>
    <w:rPr>
      <w:u w:val="single"/>
    </w:rPr>
  </w:style>
  <w:style w:type="paragraph" w:customStyle="1" w:styleId="TableBodyTextRight">
    <w:name w:val="Table Body Text Right"/>
    <w:basedOn w:val="TableBodyText"/>
    <w:rsid w:val="00B762DB"/>
    <w:pPr>
      <w:widowControl w:val="0"/>
      <w:autoSpaceDE w:val="0"/>
      <w:autoSpaceDN w:val="0"/>
      <w:adjustRightInd w:val="0"/>
      <w:jc w:val="right"/>
    </w:pPr>
    <w:rPr>
      <w:rFonts w:cs="Arial"/>
      <w:szCs w:val="18"/>
    </w:rPr>
  </w:style>
  <w:style w:type="paragraph" w:customStyle="1" w:styleId="CopyrightText">
    <w:name w:val="Copyright Text"/>
    <w:basedOn w:val="BodyText"/>
    <w:rsid w:val="00B762DB"/>
    <w:rPr>
      <w:sz w:val="18"/>
    </w:rPr>
  </w:style>
  <w:style w:type="paragraph" w:customStyle="1" w:styleId="BodySmallRight">
    <w:name w:val="Body Small Right"/>
    <w:basedOn w:val="BodyTextRight"/>
    <w:rsid w:val="00B762DB"/>
    <w:rPr>
      <w:sz w:val="18"/>
      <w:szCs w:val="18"/>
    </w:rPr>
  </w:style>
  <w:style w:type="paragraph" w:customStyle="1" w:styleId="MarginEdition">
    <w:name w:val="Margin Edition"/>
    <w:basedOn w:val="MarginNote"/>
    <w:rsid w:val="00B762DB"/>
    <w:pPr>
      <w:spacing w:before="0" w:after="0"/>
    </w:pPr>
    <w:rPr>
      <w:rFonts w:ascii="Times New Roman" w:hAnsi="Times New Roman"/>
      <w:color w:val="999999"/>
    </w:rPr>
  </w:style>
  <w:style w:type="paragraph" w:customStyle="1" w:styleId="Spacer">
    <w:name w:val="Spacer"/>
    <w:basedOn w:val="Normal"/>
    <w:rsid w:val="00B762DB"/>
    <w:rPr>
      <w:sz w:val="2"/>
      <w:szCs w:val="2"/>
    </w:rPr>
  </w:style>
  <w:style w:type="character" w:customStyle="1" w:styleId="Small">
    <w:name w:val="Small"/>
    <w:basedOn w:val="DefaultParagraphFont"/>
    <w:rsid w:val="00B762DB"/>
    <w:rPr>
      <w:sz w:val="16"/>
    </w:rPr>
  </w:style>
  <w:style w:type="paragraph" w:customStyle="1" w:styleId="WideTable">
    <w:name w:val="Wide Table"/>
    <w:basedOn w:val="Normal"/>
    <w:rsid w:val="00B762DB"/>
    <w:pPr>
      <w:ind w:left="-1418"/>
    </w:pPr>
    <w:rPr>
      <w:sz w:val="2"/>
      <w:szCs w:val="2"/>
    </w:rPr>
  </w:style>
  <w:style w:type="character" w:styleId="PageNumber">
    <w:name w:val="page number"/>
    <w:basedOn w:val="DefaultParagraphFont"/>
    <w:rsid w:val="00B762DB"/>
  </w:style>
  <w:style w:type="paragraph" w:styleId="Quote">
    <w:name w:val="Quote"/>
    <w:basedOn w:val="Heading1"/>
    <w:link w:val="QuoteChar"/>
    <w:qFormat/>
    <w:rsid w:val="00B762DB"/>
    <w:rPr>
      <w:b w:val="0"/>
      <w:sz w:val="72"/>
      <w:szCs w:val="72"/>
      <w:lang w:val="en-NZ"/>
    </w:rPr>
  </w:style>
  <w:style w:type="character" w:customStyle="1" w:styleId="QuoteChar">
    <w:name w:val="Quote Char"/>
    <w:basedOn w:val="DefaultParagraphFont"/>
    <w:link w:val="Quote"/>
    <w:rsid w:val="00B762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2DB"/>
    <w:pPr>
      <w:pageBreakBefore/>
    </w:pPr>
  </w:style>
  <w:style w:type="paragraph" w:customStyle="1" w:styleId="Border">
    <w:name w:val="Border"/>
    <w:basedOn w:val="Normal"/>
    <w:qFormat/>
    <w:rsid w:val="00B762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2DB"/>
    <w:rPr>
      <w:b/>
      <w:bCs/>
      <w:i/>
      <w:iCs/>
      <w:color w:val="auto"/>
    </w:rPr>
  </w:style>
  <w:style w:type="paragraph" w:styleId="IntenseQuote">
    <w:name w:val="Intense Quote"/>
    <w:basedOn w:val="Normal"/>
    <w:next w:val="Normal"/>
    <w:link w:val="IntenseQuoteChar"/>
    <w:uiPriority w:val="30"/>
    <w:qFormat/>
    <w:rsid w:val="00B762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2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62DB"/>
    <w:rPr>
      <w:smallCaps/>
      <w:color w:val="auto"/>
      <w:u w:val="single"/>
    </w:rPr>
  </w:style>
  <w:style w:type="character" w:styleId="IntenseReference">
    <w:name w:val="Intense Reference"/>
    <w:basedOn w:val="DefaultParagraphFont"/>
    <w:uiPriority w:val="32"/>
    <w:qFormat/>
    <w:rsid w:val="00B762DB"/>
    <w:rPr>
      <w:b/>
      <w:bCs/>
      <w:smallCaps/>
      <w:color w:val="auto"/>
      <w:spacing w:val="5"/>
      <w:u w:val="single"/>
    </w:rPr>
  </w:style>
  <w:style w:type="paragraph" w:customStyle="1" w:styleId="2ColumnHeading">
    <w:name w:val="2Column Heading"/>
    <w:basedOn w:val="BodyText"/>
    <w:qFormat/>
    <w:rsid w:val="00B762DB"/>
    <w:pPr>
      <w:spacing w:after="60"/>
      <w:ind w:left="-2268"/>
    </w:pPr>
    <w:rPr>
      <w:b/>
    </w:rPr>
  </w:style>
  <w:style w:type="paragraph" w:customStyle="1" w:styleId="Heading1TOC">
    <w:name w:val="Heading1 TOC"/>
    <w:basedOn w:val="Normal"/>
    <w:qFormat/>
    <w:rsid w:val="00B762DB"/>
    <w:pPr>
      <w:spacing w:before="240" w:after="120"/>
    </w:pPr>
    <w:rPr>
      <w:rFonts w:ascii="Times New Roman" w:hAnsi="Times New Roman"/>
      <w:b/>
      <w:sz w:val="32"/>
    </w:rPr>
  </w:style>
  <w:style w:type="paragraph" w:customStyle="1" w:styleId="Heading2TOC">
    <w:name w:val="Heading2 TOC"/>
    <w:basedOn w:val="Normal"/>
    <w:qFormat/>
    <w:rsid w:val="00B762DB"/>
    <w:pPr>
      <w:spacing w:before="240" w:after="60"/>
    </w:pPr>
    <w:rPr>
      <w:rFonts w:ascii="Times New Roman" w:hAnsi="Times New Roman"/>
      <w:b/>
      <w:sz w:val="28"/>
    </w:rPr>
  </w:style>
  <w:style w:type="character" w:customStyle="1" w:styleId="Underline">
    <w:name w:val="Underline"/>
    <w:basedOn w:val="DefaultParagraphFont"/>
    <w:qFormat/>
    <w:rsid w:val="00B762DB"/>
    <w:rPr>
      <w:u w:val="single"/>
    </w:rPr>
  </w:style>
  <w:style w:type="character" w:customStyle="1" w:styleId="BoldandItalics">
    <w:name w:val="Bold and Italics"/>
    <w:qFormat/>
    <w:rsid w:val="00B762DB"/>
    <w:rPr>
      <w:b/>
      <w:i/>
      <w:u w:val="none"/>
    </w:rPr>
  </w:style>
  <w:style w:type="paragraph" w:styleId="BalloonText">
    <w:name w:val="Balloon Text"/>
    <w:basedOn w:val="Normal"/>
    <w:link w:val="BalloonTextChar"/>
    <w:rsid w:val="00B762DB"/>
    <w:rPr>
      <w:rFonts w:ascii="Tahoma" w:hAnsi="Tahoma" w:cs="Tahoma"/>
      <w:sz w:val="16"/>
      <w:szCs w:val="16"/>
    </w:rPr>
  </w:style>
  <w:style w:type="character" w:customStyle="1" w:styleId="BalloonTextChar">
    <w:name w:val="Balloon Text Char"/>
    <w:basedOn w:val="DefaultParagraphFont"/>
    <w:link w:val="BalloonText"/>
    <w:rsid w:val="00B762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62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62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62DB"/>
    <w:rPr>
      <w:b/>
      <w:color w:val="660033"/>
      <w:spacing w:val="0"/>
    </w:rPr>
  </w:style>
  <w:style w:type="paragraph" w:customStyle="1" w:styleId="Nameditemlist">
    <w:name w:val="Named item list"/>
    <w:basedOn w:val="BodyText"/>
    <w:qFormat/>
    <w:rsid w:val="00B762DB"/>
    <w:pPr>
      <w:tabs>
        <w:tab w:val="left" w:pos="2835"/>
      </w:tabs>
      <w:ind w:left="2835" w:hanging="2835"/>
    </w:pPr>
  </w:style>
  <w:style w:type="paragraph" w:customStyle="1" w:styleId="BodyTextnopadding">
    <w:name w:val="Body Text no padding"/>
    <w:basedOn w:val="BodyText"/>
    <w:qFormat/>
    <w:rsid w:val="00B762DB"/>
    <w:pPr>
      <w:spacing w:before="0" w:after="0"/>
    </w:pPr>
  </w:style>
  <w:style w:type="paragraph" w:customStyle="1" w:styleId="BodyTextBold">
    <w:name w:val="Body Text Bold"/>
    <w:basedOn w:val="BodyText"/>
    <w:qFormat/>
    <w:rsid w:val="00B762DB"/>
    <w:rPr>
      <w:b/>
    </w:rPr>
  </w:style>
  <w:style w:type="character" w:styleId="Hyperlink">
    <w:name w:val="Hyperlink"/>
    <w:basedOn w:val="DefaultParagraphFont"/>
    <w:uiPriority w:val="99"/>
    <w:unhideWhenUsed/>
    <w:rsid w:val="003164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4462</Characters>
  <Application>Microsoft Office Word</Application>
  <DocSecurity>0</DocSecurity>
  <Lines>223</Lines>
  <Paragraphs>138</Paragraphs>
  <ScaleCrop>false</ScaleCrop>
  <Company>Author-it Software Corporation Ltd.</Company>
  <LinksUpToDate>false</LinksUpToDate>
  <CharactersWithSpaces>4994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MSFUP2006 Dismantle and re-assemble furniture for upholstering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2022-06-03T07:20:00Z</dcterms:created>
  <dcterms:modified xsi:type="dcterms:W3CDTF">2022-06-03T07:20:00Z</dcterms:modified>
</cp:coreProperties>
</file>