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4CC" w:rsidP="000824CC">
      <w:pPr>
        <w:pStyle w:val="Title"/>
      </w:pPr>
      <w:r>
        <w:fldChar w:fldCharType="begin"/>
      </w:r>
      <w:r>
        <w:instrText xml:space="preserve"> TITLE   \* MERGEFORMAT </w:instrText>
      </w:r>
      <w:r>
        <w:fldChar w:fldCharType="separate"/>
      </w:r>
      <w:r>
        <w:t>MSFUP2002 Fit upholstery components</w:t>
      </w:r>
      <w:r>
        <w:fldChar w:fldCharType="end"/>
      </w:r>
    </w:p>
    <w:p w:rsidR="000824CC" w:rsidP="000824CC">
      <w:pPr>
        <w:pStyle w:val="Version"/>
        <w:sectPr w:rsidSect="00F62B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2B15" w:rsidP="00F62B15">
      <w:pPr>
        <w:pStyle w:val="SuperHeading"/>
      </w:pPr>
      <w:r w:rsidRPr="00F62B15">
        <w:t>MSFUP2002 Fit upholstery components</w:t>
      </w:r>
    </w:p>
    <w:p w:rsidR="00000000" w:rsidRPr="00F62B15" w:rsidP="00F62B15">
      <w:pPr>
        <w:pStyle w:val="Heading1"/>
      </w:pPr>
      <w:bookmarkStart w:id="1" w:name="O_620225"/>
      <w:bookmarkEnd w:id="1"/>
      <w:r w:rsidRPr="00F62B15">
        <w:t>Modification History</w:t>
      </w:r>
    </w:p>
    <w:p w:rsidR="00000000" w:rsidRPr="00F62B15" w:rsidP="000824CC">
      <w:pPr>
        <w:pStyle w:val="BodyText"/>
      </w:pPr>
      <w:r w:rsidRPr="00F62B15">
        <w:t>Release 1 - New unit of competency</w:t>
      </w:r>
    </w:p>
    <w:p w:rsidR="00000000" w:rsidRPr="00F62B15" w:rsidP="00F62B15">
      <w:pPr>
        <w:pStyle w:val="Heading1"/>
      </w:pPr>
      <w:bookmarkStart w:id="2" w:name="O_620226"/>
      <w:bookmarkEnd w:id="2"/>
      <w:r w:rsidRPr="00F62B15">
        <w:t>Application</w:t>
      </w:r>
    </w:p>
    <w:p w:rsidR="00000000" w:rsidRPr="00F62B15" w:rsidP="000824CC">
      <w:pPr>
        <w:pStyle w:val="BodyText"/>
      </w:pPr>
      <w:r w:rsidRPr="00F62B15">
        <w:t>This unit of competency covers fitting upholstery components ready to assemble upholstered furniture.</w:t>
      </w:r>
    </w:p>
    <w:p w:rsidR="00000000" w:rsidRPr="00F62B15" w:rsidP="000824CC">
      <w:pPr>
        <w:pStyle w:val="BodyText"/>
      </w:pPr>
      <w:r w:rsidRPr="00F62B15">
        <w:t>No licensing, legislative or certification requirements apply to thi</w:t>
      </w:r>
      <w:r w:rsidRPr="00F62B15">
        <w:t>s unit at the time of publication.</w:t>
      </w:r>
    </w:p>
    <w:p w:rsidR="00000000" w:rsidRPr="00F62B15" w:rsidP="00F62B15">
      <w:pPr>
        <w:pStyle w:val="Heading1"/>
      </w:pPr>
      <w:bookmarkStart w:id="3" w:name="O_620227"/>
      <w:bookmarkEnd w:id="3"/>
      <w:r w:rsidRPr="00F62B15">
        <w:t>Pre-requisite Unit</w:t>
      </w:r>
    </w:p>
    <w:p w:rsidR="00000000" w:rsidRPr="00F62B15" w:rsidP="00F62B15">
      <w:pPr>
        <w:pStyle w:val="Heading1"/>
      </w:pPr>
      <w:bookmarkStart w:id="4" w:name="O_620228"/>
      <w:bookmarkEnd w:id="4"/>
      <w:r w:rsidRPr="00F62B15">
        <w:t>Competency Field</w:t>
      </w:r>
    </w:p>
    <w:p w:rsidR="00000000" w:rsidRPr="00F62B15" w:rsidP="00F62B15">
      <w:pPr>
        <w:pStyle w:val="Heading1"/>
      </w:pPr>
      <w:bookmarkStart w:id="5" w:name="O_620229"/>
      <w:bookmarkEnd w:id="5"/>
      <w:r w:rsidRPr="00F62B15">
        <w:t>Unit Sector</w:t>
      </w:r>
    </w:p>
    <w:p w:rsidR="00000000" w:rsidRPr="00F62B15" w:rsidP="000824CC">
      <w:pPr>
        <w:pStyle w:val="BodyText"/>
      </w:pPr>
      <w:r w:rsidRPr="00F62B15">
        <w:t>Upholstery</w:t>
      </w:r>
    </w:p>
    <w:p w:rsidR="00000000" w:rsidRPr="00F62B15" w:rsidP="00F62B15">
      <w:pPr>
        <w:pStyle w:val="Heading1"/>
      </w:pPr>
      <w:bookmarkStart w:id="6" w:name="O_620230"/>
      <w:bookmarkEnd w:id="6"/>
      <w:r w:rsidRPr="00F62B15">
        <w:t>Elements and Performance Criteria</w:t>
      </w:r>
    </w:p>
    <w:tbl>
      <w:tblPr>
        <w:tblW w:w="0" w:type="auto"/>
        <w:tblLayout w:type="fixed"/>
        <w:tblCellMar>
          <w:left w:w="62" w:type="dxa"/>
          <w:right w:w="62" w:type="dxa"/>
        </w:tblCellMar>
        <w:tblLook w:val="0000"/>
      </w:tblPr>
      <w:tblGrid>
        <w:gridCol w:w="540"/>
        <w:gridCol w:w="2219"/>
        <w:gridCol w:w="683"/>
        <w:gridCol w:w="5738"/>
      </w:tblGrid>
      <w:tr w:rsidTr="00F62B15">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Performance criteri</w:t>
            </w:r>
            <w:r w:rsidRPr="00F62B15">
              <w:t>a describe the performance needed to demonstrate achievement of the element.</w:t>
            </w:r>
          </w:p>
        </w:tc>
      </w:tr>
      <w:tr w:rsidTr="00F62B1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1</w:t>
            </w:r>
          </w:p>
        </w:tc>
        <w:tc>
          <w:tcPr>
            <w:tcW w:w="2219"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Prepare for component application</w:t>
            </w:r>
          </w:p>
        </w:tc>
        <w:tc>
          <w:tcPr>
            <w:tcW w:w="683"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1.1</w:t>
            </w:r>
          </w:p>
        </w:tc>
        <w:tc>
          <w:tcPr>
            <w:tcW w:w="5738"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Work instructions are used determine job requirements including design variations, tolerances, process, materials, finish and quality</w:t>
            </w:r>
          </w:p>
        </w:tc>
      </w:tr>
      <w:tr w:rsidTr="00F62B1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1.2</w:t>
            </w:r>
          </w:p>
        </w:tc>
        <w:tc>
          <w:tcPr>
            <w:tcW w:w="5738"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Components to be fitted are identified</w:t>
            </w:r>
          </w:p>
        </w:tc>
      </w:tr>
      <w:tr w:rsidTr="00F62B1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1.3</w:t>
            </w:r>
          </w:p>
        </w:tc>
        <w:tc>
          <w:tcPr>
            <w:tcW w:w="5738"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Fitting sequence is determined</w:t>
            </w:r>
          </w:p>
        </w:tc>
      </w:tr>
      <w:tr w:rsidTr="00F62B1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1.4</w:t>
            </w:r>
          </w:p>
        </w:tc>
        <w:tc>
          <w:tcPr>
            <w:tcW w:w="5738"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Procedures are determined for checking the quality at each stage of the process</w:t>
            </w:r>
          </w:p>
        </w:tc>
      </w:tr>
      <w:tr w:rsidTr="00F62B1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1.5</w:t>
            </w:r>
          </w:p>
        </w:tc>
        <w:tc>
          <w:tcPr>
            <w:tcW w:w="5738"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Work health and safety (WHS) requirements, including personal protection needs, are observed throughout the work</w:t>
            </w:r>
          </w:p>
        </w:tc>
      </w:tr>
      <w:tr w:rsidTr="00F62B1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1.6</w:t>
            </w:r>
          </w:p>
        </w:tc>
        <w:tc>
          <w:tcPr>
            <w:tcW w:w="5738"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 xml:space="preserve">Fixing devices are selected in accordance with work </w:t>
            </w:r>
            <w:r w:rsidRPr="00F62B15">
              <w:t>instructions and the type of materials to be used</w:t>
            </w:r>
          </w:p>
        </w:tc>
      </w:tr>
      <w:tr w:rsidTr="00F62B1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1.7</w:t>
            </w:r>
          </w:p>
        </w:tc>
        <w:tc>
          <w:tcPr>
            <w:tcW w:w="5738"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Suitable work area is selec</w:t>
            </w:r>
            <w:r w:rsidRPr="00F62B15">
              <w:t>ted for the task</w:t>
            </w:r>
          </w:p>
        </w:tc>
      </w:tr>
      <w:tr w:rsidTr="00F62B1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1.8</w:t>
            </w:r>
          </w:p>
        </w:tc>
        <w:tc>
          <w:tcPr>
            <w:tcW w:w="5738"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Components, materials, fittings and attachments are collected</w:t>
            </w:r>
          </w:p>
        </w:tc>
      </w:tr>
      <w:tr w:rsidTr="00F62B1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1.9</w:t>
            </w:r>
          </w:p>
        </w:tc>
        <w:tc>
          <w:tcPr>
            <w:tcW w:w="5738"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Tools and equipment suitable to the applicable fitting methods are selected and checked for safe operation</w:t>
            </w:r>
          </w:p>
        </w:tc>
      </w:tr>
      <w:tr w:rsidTr="00F62B1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2</w:t>
            </w:r>
          </w:p>
        </w:tc>
        <w:tc>
          <w:tcPr>
            <w:tcW w:w="2219"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Fit components</w:t>
            </w:r>
          </w:p>
        </w:tc>
        <w:tc>
          <w:tcPr>
            <w:tcW w:w="683"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2.1</w:t>
            </w:r>
          </w:p>
        </w:tc>
        <w:tc>
          <w:tcPr>
            <w:tcW w:w="5738"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Components are laid out and attached using appropriate fastenings</w:t>
            </w:r>
          </w:p>
        </w:tc>
      </w:tr>
      <w:tr w:rsidTr="00F62B1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2.1</w:t>
            </w:r>
          </w:p>
        </w:tc>
        <w:tc>
          <w:tcPr>
            <w:tcW w:w="5738"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Hand and power tools and equipment are used, as required</w:t>
            </w:r>
          </w:p>
        </w:tc>
      </w:tr>
      <w:tr w:rsidTr="00F62B1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2.3</w:t>
            </w:r>
          </w:p>
        </w:tc>
        <w:tc>
          <w:tcPr>
            <w:tcW w:w="5738"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Attached components are checked for compliance with specifications</w:t>
            </w:r>
          </w:p>
        </w:tc>
      </w:tr>
      <w:tr w:rsidTr="00F62B1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2.4</w:t>
            </w:r>
          </w:p>
        </w:tc>
        <w:tc>
          <w:tcPr>
            <w:tcW w:w="5738"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Products which do not meet quality specifications are repaired or tagged for further processing or recycling/disposal in accordance with workplace practices</w:t>
            </w:r>
          </w:p>
        </w:tc>
      </w:tr>
      <w:tr w:rsidTr="00F62B1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2.5</w:t>
            </w:r>
          </w:p>
        </w:tc>
        <w:tc>
          <w:tcPr>
            <w:tcW w:w="5738"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Finished products are organised and stored in holding area to enterprise requirements</w:t>
            </w:r>
          </w:p>
        </w:tc>
      </w:tr>
      <w:tr w:rsidTr="00F62B1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3</w:t>
            </w:r>
          </w:p>
        </w:tc>
        <w:tc>
          <w:tcPr>
            <w:tcW w:w="2219"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Com</w:t>
            </w:r>
            <w:r w:rsidRPr="00F62B15">
              <w:t>plete work</w:t>
            </w:r>
          </w:p>
        </w:tc>
        <w:tc>
          <w:tcPr>
            <w:tcW w:w="683"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3.1</w:t>
            </w:r>
          </w:p>
        </w:tc>
        <w:tc>
          <w:tcPr>
            <w:tcW w:w="5738"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Faulty and/or defective equipment is tagged and reported in accordance with workplace procedures</w:t>
            </w:r>
          </w:p>
        </w:tc>
      </w:tr>
      <w:tr w:rsidTr="00F62B1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3.2</w:t>
            </w:r>
          </w:p>
        </w:tc>
        <w:tc>
          <w:tcPr>
            <w:tcW w:w="5738"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Waste and scrap are removed in accordance with workplace procedures</w:t>
            </w:r>
          </w:p>
        </w:tc>
      </w:tr>
      <w:tr w:rsidTr="00F62B1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3.3</w:t>
            </w:r>
          </w:p>
        </w:tc>
        <w:tc>
          <w:tcPr>
            <w:tcW w:w="5738"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Tools and equipment used are cleaned, in</w:t>
            </w:r>
            <w:r w:rsidRPr="00F62B15">
              <w:t>spected for serviceable condition and stored appropriately in accordance with workplace procedures</w:t>
            </w:r>
          </w:p>
        </w:tc>
      </w:tr>
      <w:tr w:rsidTr="00F62B1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3.4</w:t>
            </w:r>
          </w:p>
        </w:tc>
        <w:tc>
          <w:tcPr>
            <w:tcW w:w="5738" w:type="dxa"/>
            <w:tcBorders>
              <w:top w:val="nil"/>
              <w:left w:val="nil"/>
              <w:bottom w:val="nil"/>
              <w:right w:val="nil"/>
            </w:tcBorders>
            <w:tcMar>
              <w:top w:w="0" w:type="dxa"/>
              <w:left w:w="62" w:type="dxa"/>
              <w:bottom w:w="0" w:type="dxa"/>
              <w:right w:w="62" w:type="dxa"/>
            </w:tcMar>
          </w:tcPr>
          <w:p w:rsidR="00000000" w:rsidRPr="00F62B15" w:rsidP="00F62B15">
            <w:pPr>
              <w:pStyle w:val="BodyText"/>
            </w:pPr>
            <w:r w:rsidRPr="00F62B15">
              <w:t>Equipment is maintained and work area cleaned in accordance with workplace procedures</w:t>
            </w:r>
          </w:p>
        </w:tc>
      </w:tr>
    </w:tbl>
    <w:p w:rsidR="00000000" w:rsidRPr="00F62B15" w:rsidP="00F62B15">
      <w:pPr>
        <w:pStyle w:val="BodyText"/>
      </w:pPr>
    </w:p>
    <w:p w:rsidR="00000000" w:rsidRPr="00F62B15" w:rsidP="00F62B15">
      <w:pPr>
        <w:pStyle w:val="AllowPageBreak"/>
      </w:pPr>
    </w:p>
    <w:p w:rsidR="00000000" w:rsidRPr="00F62B15" w:rsidP="00F62B15">
      <w:pPr>
        <w:pStyle w:val="Heading1"/>
      </w:pPr>
      <w:bookmarkStart w:id="7" w:name="O_620231"/>
      <w:bookmarkEnd w:id="7"/>
      <w:r w:rsidRPr="00F62B15">
        <w:t>Foundation Skills</w:t>
      </w:r>
    </w:p>
    <w:p w:rsidR="00000000" w:rsidRPr="00F62B15" w:rsidP="000824CC">
      <w:pPr>
        <w:pStyle w:val="BodyText"/>
      </w:pPr>
      <w:r w:rsidRPr="00F62B15">
        <w:t>Foundation skills essential</w:t>
      </w:r>
      <w:r w:rsidRPr="00F62B15">
        <w:t xml:space="preserve"> to performance are explicit in the performance criteria of this unit of competency. Detail on appropriate performance levels for each furnishing unit of competency in reading, writing, oral communication and numeracy utilising the Australian Core Skills F</w:t>
      </w:r>
      <w:r w:rsidRPr="00F62B15">
        <w:t>ramework (ACSF) are provided in the Furnishing Training Package Implementation Guide.</w:t>
      </w:r>
    </w:p>
    <w:p w:rsidR="00000000" w:rsidRPr="00F62B15" w:rsidP="00F62B15">
      <w:pPr>
        <w:pStyle w:val="Heading1"/>
      </w:pPr>
      <w:bookmarkStart w:id="8" w:name="O_620232"/>
      <w:bookmarkEnd w:id="8"/>
      <w:r w:rsidRPr="00F62B15">
        <w:t>Range of Conditions</w:t>
      </w:r>
    </w:p>
    <w:tbl>
      <w:tblPr>
        <w:tblW w:w="0" w:type="auto"/>
        <w:tblLayout w:type="fixed"/>
        <w:tblCellMar>
          <w:left w:w="62" w:type="dxa"/>
          <w:right w:w="62" w:type="dxa"/>
        </w:tblCellMar>
        <w:tblLook w:val="0000"/>
      </w:tblPr>
      <w:tblGrid>
        <w:gridCol w:w="2760"/>
        <w:gridCol w:w="6312"/>
      </w:tblGrid>
      <w:tr w:rsidTr="00F62B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t xml:space="preserve">Specifies different work environments and conditions that may affect performance. Essential operating conditions that may be present </w:t>
            </w:r>
            <w:r w:rsidRPr="00F62B15">
              <w:t>(depending on the work situation, needs of the candidate, accessibility of the item, and local industry and regional contexts) are included. Range is restricted to essential operating conditions and any other variables essential to the work environment.</w:t>
            </w:r>
          </w:p>
        </w:tc>
      </w:tr>
      <w:tr w:rsidTr="00F62B1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62B15" w:rsidP="00F62B15">
            <w:pPr>
              <w:pStyle w:val="ListBullet"/>
            </w:pPr>
            <w:r w:rsidRPr="00F62B15">
              <w:t xml:space="preserve">WHS requirements, including legislation, building codes, material safety management systems, hazardous and dangerous goods codes, and local safe operating procedures or equivalent </w:t>
            </w:r>
          </w:p>
          <w:p w:rsidR="00000000" w:rsidP="00F62B15">
            <w:pPr>
              <w:pStyle w:val="ListBullet"/>
              <w:rPr>
                <w:lang w:val="en-NZ"/>
              </w:rPr>
            </w:pPr>
            <w:r w:rsidRPr="00F62B15">
              <w:t xml:space="preserve">work is carried out in accordance with legislative </w:t>
            </w:r>
            <w:r w:rsidRPr="00F62B15">
              <w:t xml:space="preserve">obligations, environmental legislation, relevant health regulations, manual handling procedures and organisation insurance requirements </w:t>
            </w:r>
          </w:p>
        </w:tc>
      </w:tr>
      <w:tr w:rsidTr="00F62B1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rPr>
                <w:rStyle w:val="SpecialBold"/>
              </w:rPr>
              <w:t xml:space="preserve">Upholstery components include: </w:t>
            </w:r>
          </w:p>
        </w:tc>
        <w:tc>
          <w:tcPr>
            <w:tcW w:w="6312" w:type="dxa"/>
            <w:tcBorders>
              <w:top w:val="nil"/>
              <w:left w:val="nil"/>
              <w:bottom w:val="nil"/>
              <w:right w:val="nil"/>
            </w:tcBorders>
            <w:tcMar>
              <w:top w:w="0" w:type="dxa"/>
              <w:left w:w="62" w:type="dxa"/>
              <w:bottom w:w="0" w:type="dxa"/>
              <w:right w:w="62" w:type="dxa"/>
            </w:tcMar>
          </w:tcPr>
          <w:p w:rsidR="00000000" w:rsidRPr="00F62B15" w:rsidP="00F62B15">
            <w:pPr>
              <w:pStyle w:val="ListBullet"/>
            </w:pPr>
            <w:r w:rsidRPr="00F62B15">
              <w:t>actions</w:t>
            </w:r>
          </w:p>
          <w:p w:rsidR="00000000" w:rsidRPr="00F62B15" w:rsidP="00F62B15">
            <w:pPr>
              <w:pStyle w:val="ListBullet"/>
            </w:pPr>
            <w:r w:rsidRPr="00F62B15">
              <w:t xml:space="preserve">arms </w:t>
            </w:r>
          </w:p>
          <w:p w:rsidR="00000000" w:rsidRPr="00F62B15" w:rsidP="00F62B15">
            <w:pPr>
              <w:pStyle w:val="ListBullet"/>
            </w:pPr>
            <w:r w:rsidRPr="00F62B15">
              <w:t xml:space="preserve">seats </w:t>
            </w:r>
          </w:p>
          <w:p w:rsidR="00000000" w:rsidRPr="00F62B15" w:rsidP="00F62B15">
            <w:pPr>
              <w:pStyle w:val="ListBullet"/>
            </w:pPr>
            <w:r w:rsidRPr="00F62B15">
              <w:t xml:space="preserve">backs </w:t>
            </w:r>
          </w:p>
          <w:p w:rsidR="00000000" w:rsidRPr="00F62B15" w:rsidP="00F62B15">
            <w:pPr>
              <w:pStyle w:val="ListBullet"/>
            </w:pPr>
            <w:r w:rsidRPr="00F62B15">
              <w:t>legs</w:t>
            </w:r>
          </w:p>
          <w:p w:rsidR="00000000" w:rsidRPr="00F62B15" w:rsidP="00F62B15">
            <w:pPr>
              <w:pStyle w:val="ListBullet"/>
            </w:pPr>
            <w:r w:rsidRPr="00F62B15">
              <w:t xml:space="preserve">facings </w:t>
            </w:r>
          </w:p>
          <w:p w:rsidR="00000000" w:rsidRPr="00F62B15" w:rsidP="00F62B15">
            <w:pPr>
              <w:pStyle w:val="ListBullet"/>
            </w:pPr>
            <w:r w:rsidRPr="00F62B15">
              <w:t xml:space="preserve">prefabricated polished timber components </w:t>
            </w:r>
          </w:p>
          <w:p w:rsidR="00000000" w:rsidRPr="00F62B15" w:rsidP="00F62B15">
            <w:pPr>
              <w:pStyle w:val="ListBullet"/>
            </w:pPr>
            <w:r w:rsidRPr="00F62B15">
              <w:t xml:space="preserve">metal components </w:t>
            </w:r>
          </w:p>
          <w:p w:rsidR="00000000" w:rsidRPr="00F62B15" w:rsidP="00F62B15">
            <w:pPr>
              <w:pStyle w:val="ListBullet"/>
            </w:pPr>
            <w:r w:rsidRPr="00F62B15">
              <w:t xml:space="preserve">plinths </w:t>
            </w:r>
          </w:p>
          <w:p w:rsidR="00000000" w:rsidRPr="00F62B15" w:rsidP="00F62B15">
            <w:pPr>
              <w:pStyle w:val="ListBullet"/>
            </w:pPr>
            <w:r w:rsidRPr="00F62B15">
              <w:t xml:space="preserve">glides </w:t>
            </w:r>
          </w:p>
          <w:p w:rsidR="00000000" w:rsidP="00F62B15">
            <w:pPr>
              <w:pStyle w:val="ListBullet"/>
              <w:rPr>
                <w:lang w:val="en-NZ"/>
              </w:rPr>
            </w:pPr>
            <w:r w:rsidRPr="00F62B15">
              <w:t>ceramic and plastic fittings</w:t>
            </w:r>
          </w:p>
        </w:tc>
      </w:tr>
      <w:tr w:rsidTr="00F62B1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62B15" w:rsidP="00F62B15">
            <w:pPr>
              <w:pStyle w:val="BodyText"/>
            </w:pPr>
            <w:r w:rsidRPr="00F62B15">
              <w:rPr>
                <w:rStyle w:val="SpecialBold"/>
              </w:rPr>
              <w:t>Tools and equipment include:</w:t>
            </w:r>
          </w:p>
          <w:p w:rsidR="00000000" w:rsidP="00F62B1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62B15" w:rsidP="00F62B15">
            <w:pPr>
              <w:pStyle w:val="ListBullet"/>
            </w:pPr>
            <w:r w:rsidRPr="00F62B15">
              <w:t>measuring tapes or rulers</w:t>
            </w:r>
          </w:p>
          <w:p w:rsidR="00000000" w:rsidRPr="00F62B15" w:rsidP="00F62B15">
            <w:pPr>
              <w:pStyle w:val="ListBullet"/>
            </w:pPr>
            <w:r w:rsidRPr="00F62B15">
              <w:t>staple gun</w:t>
            </w:r>
          </w:p>
          <w:p w:rsidR="00000000" w:rsidRPr="00F62B15" w:rsidP="00F62B15">
            <w:pPr>
              <w:pStyle w:val="ListBullet"/>
            </w:pPr>
            <w:r w:rsidRPr="00F62B15">
              <w:t>air driver</w:t>
            </w:r>
          </w:p>
          <w:p w:rsidR="00000000" w:rsidRPr="00F62B15" w:rsidP="00F62B15">
            <w:pPr>
              <w:pStyle w:val="ListBullet"/>
            </w:pPr>
            <w:r w:rsidRPr="00F62B15">
              <w:t>air drill and accessories</w:t>
            </w:r>
          </w:p>
          <w:p w:rsidR="00000000" w:rsidP="00F62B15">
            <w:pPr>
              <w:pStyle w:val="ListBullet"/>
              <w:rPr>
                <w:lang w:val="en-NZ"/>
              </w:rPr>
            </w:pPr>
            <w:r w:rsidRPr="00F62B15">
              <w:t>scissors and mallets</w:t>
            </w:r>
          </w:p>
        </w:tc>
      </w:tr>
      <w:tr w:rsidTr="00F62B1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62B15" w:rsidP="00F62B15">
            <w:pPr>
              <w:pStyle w:val="ListBullet"/>
            </w:pPr>
            <w:r w:rsidRPr="00F62B15">
              <w:t>air wrench</w:t>
            </w:r>
          </w:p>
          <w:p w:rsidR="00000000" w:rsidRPr="00F62B15" w:rsidP="00F62B15">
            <w:pPr>
              <w:pStyle w:val="ListBullet"/>
            </w:pPr>
            <w:r w:rsidRPr="00F62B15">
              <w:t>nail gun</w:t>
            </w:r>
          </w:p>
          <w:p w:rsidR="00000000" w:rsidRPr="00F62B15" w:rsidP="00F62B15">
            <w:pPr>
              <w:pStyle w:val="ListBullet"/>
            </w:pPr>
            <w:r w:rsidRPr="00F62B15">
              <w:t>clip gun</w:t>
            </w:r>
          </w:p>
          <w:p w:rsidR="00000000" w:rsidRPr="00F62B15" w:rsidP="00F62B15">
            <w:pPr>
              <w:pStyle w:val="ListBullet"/>
            </w:pPr>
            <w:r w:rsidRPr="00F62B15">
              <w:t>tack hammer</w:t>
            </w:r>
          </w:p>
          <w:p w:rsidR="00000000" w:rsidP="00F62B15">
            <w:pPr>
              <w:pStyle w:val="ListBullet"/>
              <w:rPr>
                <w:lang w:val="en-NZ"/>
              </w:rPr>
            </w:pPr>
            <w:r w:rsidRPr="00F62B15">
              <w:t>ripping chisels and staple removers</w:t>
            </w:r>
          </w:p>
        </w:tc>
      </w:tr>
      <w:tr w:rsidTr="00F62B1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62B15" w:rsidP="00F62B15">
            <w:pPr>
              <w:pStyle w:val="BodyText"/>
            </w:pPr>
            <w:r w:rsidRPr="00F62B15">
              <w:rPr>
                <w:rStyle w:val="SpecialBold"/>
              </w:rPr>
              <w:t>Materials include:</w:t>
            </w:r>
          </w:p>
          <w:p w:rsidR="00000000" w:rsidP="00F62B1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62B15" w:rsidP="00F62B15">
            <w:pPr>
              <w:pStyle w:val="ListBullet"/>
            </w:pPr>
            <w:r w:rsidRPr="00F62B15">
              <w:t>finished upholstery components</w:t>
            </w:r>
          </w:p>
          <w:p w:rsidR="00000000" w:rsidRPr="00F62B15" w:rsidP="00F62B15">
            <w:pPr>
              <w:pStyle w:val="ListBullet"/>
            </w:pPr>
            <w:r w:rsidRPr="00F62B15">
              <w:t>frames</w:t>
            </w:r>
          </w:p>
          <w:p w:rsidR="00000000" w:rsidRPr="00F62B15" w:rsidP="00F62B15">
            <w:pPr>
              <w:pStyle w:val="ListBullet"/>
            </w:pPr>
            <w:r w:rsidRPr="00F62B15">
              <w:t>glues</w:t>
            </w:r>
          </w:p>
          <w:p w:rsidR="00000000" w:rsidRPr="00F62B15" w:rsidP="00F62B15">
            <w:pPr>
              <w:pStyle w:val="ListBullet"/>
            </w:pPr>
            <w:r w:rsidRPr="00F62B15">
              <w:t>screws</w:t>
            </w:r>
          </w:p>
          <w:p w:rsidR="00000000" w:rsidP="00F62B15">
            <w:pPr>
              <w:pStyle w:val="ListBullet"/>
              <w:rPr>
                <w:lang w:val="en-NZ"/>
              </w:rPr>
            </w:pPr>
            <w:r w:rsidRPr="00F62B15">
              <w:t>nails and staples and other fixing devices</w:t>
            </w:r>
          </w:p>
        </w:tc>
      </w:tr>
      <w:tr w:rsidTr="00F62B1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62B15" w:rsidP="00F62B15">
            <w:pPr>
              <w:pStyle w:val="BodyText"/>
            </w:pPr>
            <w:r w:rsidRPr="00F62B15">
              <w:rPr>
                <w:rStyle w:val="SpecialBold"/>
              </w:rPr>
              <w:t>Component checking includes:</w:t>
            </w:r>
          </w:p>
          <w:p w:rsidR="00000000" w:rsidP="00F62B1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62B15" w:rsidP="00F62B15">
            <w:pPr>
              <w:pStyle w:val="ListBullet"/>
            </w:pPr>
            <w:r w:rsidRPr="00F62B15">
              <w:t>alignment and squareness</w:t>
            </w:r>
          </w:p>
          <w:p w:rsidR="00000000" w:rsidRPr="00F62B15" w:rsidP="00F62B15">
            <w:pPr>
              <w:pStyle w:val="ListBullet"/>
            </w:pPr>
            <w:r w:rsidRPr="00F62B15">
              <w:t>correct fastening</w:t>
            </w:r>
          </w:p>
          <w:p w:rsidR="00000000" w:rsidRPr="00F62B15" w:rsidP="00F62B15">
            <w:pPr>
              <w:pStyle w:val="ListBullet"/>
            </w:pPr>
            <w:r w:rsidRPr="00F62B15">
              <w:t xml:space="preserve">materials and attachment according to work instruction </w:t>
            </w:r>
          </w:p>
          <w:p w:rsidR="00000000" w:rsidP="00F62B15">
            <w:pPr>
              <w:pStyle w:val="ListBullet"/>
              <w:rPr>
                <w:lang w:val="en-NZ"/>
              </w:rPr>
            </w:pPr>
            <w:r w:rsidRPr="00F62B15">
              <w:t xml:space="preserve">conformity to work instructions and quality requirements </w:t>
            </w:r>
          </w:p>
        </w:tc>
      </w:tr>
      <w:tr w:rsidTr="00F62B1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62B15" w:rsidP="00F62B15">
            <w:pPr>
              <w:pStyle w:val="BodyText"/>
            </w:pPr>
            <w:r w:rsidRPr="00F62B15">
              <w:rPr>
                <w:rStyle w:val="SpecialBold"/>
              </w:rPr>
              <w:t>Storage area organisation includes:</w:t>
            </w:r>
          </w:p>
          <w:p w:rsidR="00000000" w:rsidP="00F62B1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62B15" w:rsidP="00F62B15">
            <w:pPr>
              <w:pStyle w:val="ListBullet"/>
            </w:pPr>
            <w:r w:rsidRPr="00F62B15">
              <w:t>ensuring that there is no obstruction to traffic</w:t>
            </w:r>
          </w:p>
          <w:p w:rsidR="00000000" w:rsidRPr="00F62B15" w:rsidP="00F62B15">
            <w:pPr>
              <w:pStyle w:val="ListBullet"/>
            </w:pPr>
            <w:r w:rsidRPr="00F62B15">
              <w:t>products are not damaged in storage</w:t>
            </w:r>
          </w:p>
          <w:p w:rsidR="00000000" w:rsidRPr="00F62B15" w:rsidP="00F62B15">
            <w:pPr>
              <w:pStyle w:val="ListBullet"/>
            </w:pPr>
            <w:r w:rsidRPr="00F62B15">
              <w:t>incompatible items</w:t>
            </w:r>
            <w:r w:rsidRPr="00F62B15">
              <w:t xml:space="preserve"> are not stored together </w:t>
            </w:r>
          </w:p>
          <w:p w:rsidR="00000000" w:rsidP="00F62B15">
            <w:pPr>
              <w:pStyle w:val="ListBullet"/>
              <w:rPr>
                <w:lang w:val="en-NZ"/>
              </w:rPr>
            </w:pPr>
            <w:r w:rsidRPr="00F62B15">
              <w:t xml:space="preserve">products are arranged to match the sequence of work </w:t>
            </w:r>
          </w:p>
        </w:tc>
      </w:tr>
      <w:tr w:rsidTr="00F62B1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62B15" w:rsidP="00F62B15">
            <w:pPr>
              <w:pStyle w:val="BodyText"/>
            </w:pPr>
            <w:r w:rsidRPr="00F62B15">
              <w:rPr>
                <w:rStyle w:val="SpecialBold"/>
              </w:rPr>
              <w:t>Personal protective equipment includes:</w:t>
            </w:r>
          </w:p>
          <w:p w:rsidR="00000000" w:rsidP="00F62B1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62B15" w:rsidP="00F62B15">
            <w:pPr>
              <w:pStyle w:val="ListBullet"/>
            </w:pPr>
            <w:r w:rsidRPr="00F62B15">
              <w:t>that prescribed under legislation, regulations and enterprise policies and practices:</w:t>
            </w:r>
          </w:p>
          <w:p w:rsidR="00000000" w:rsidRPr="00F62B15" w:rsidP="00F62B15">
            <w:pPr>
              <w:pStyle w:val="ListBullet2"/>
            </w:pPr>
            <w:r w:rsidRPr="00F62B15">
              <w:t>safety glasses/goggles</w:t>
            </w:r>
          </w:p>
          <w:p w:rsidR="00000000" w:rsidRPr="00F62B15" w:rsidP="00F62B15">
            <w:pPr>
              <w:pStyle w:val="ListBullet2"/>
            </w:pPr>
            <w:r w:rsidRPr="00F62B15">
              <w:t>hair nets</w:t>
            </w:r>
          </w:p>
          <w:p w:rsidR="00000000" w:rsidRPr="00F62B15" w:rsidP="00F62B15">
            <w:pPr>
              <w:pStyle w:val="ListBullet2"/>
            </w:pPr>
            <w:r w:rsidRPr="00F62B15">
              <w:t>ear muffs/plugs</w:t>
            </w:r>
          </w:p>
          <w:p w:rsidR="00000000" w:rsidRPr="00F62B15" w:rsidP="00F62B15">
            <w:pPr>
              <w:pStyle w:val="ListBullet2"/>
            </w:pPr>
            <w:r w:rsidRPr="00F62B15">
              <w:t>gloves</w:t>
            </w:r>
          </w:p>
          <w:p w:rsidR="00000000" w:rsidRPr="00F62B15" w:rsidP="00F62B15">
            <w:pPr>
              <w:pStyle w:val="ListBullet2"/>
            </w:pPr>
            <w:r w:rsidRPr="00F62B15">
              <w:t>footwear</w:t>
            </w:r>
          </w:p>
          <w:p w:rsidR="00000000" w:rsidP="00F62B15">
            <w:pPr>
              <w:pStyle w:val="ListBullet2"/>
              <w:rPr>
                <w:lang w:val="en-NZ"/>
              </w:rPr>
            </w:pPr>
            <w:r w:rsidRPr="00F62B15">
              <w:t>protective clothing</w:t>
            </w:r>
          </w:p>
        </w:tc>
      </w:tr>
      <w:tr w:rsidTr="00F62B1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2B15">
            <w:pPr>
              <w:pStyle w:val="BodyText"/>
              <w:rPr>
                <w:lang w:val="en-NZ"/>
              </w:rPr>
            </w:pPr>
            <w:r w:rsidRPr="00F62B1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62B15" w:rsidP="00F62B15">
            <w:pPr>
              <w:pStyle w:val="ListBullet"/>
            </w:pPr>
            <w:r w:rsidRPr="00F62B15">
              <w:t xml:space="preserve">workplace procedures relating to the use of tools and equipment </w:t>
            </w:r>
          </w:p>
          <w:p w:rsidR="00000000" w:rsidRPr="00F62B15" w:rsidP="00F62B15">
            <w:pPr>
              <w:pStyle w:val="ListBullet"/>
            </w:pPr>
            <w:r w:rsidRPr="00F62B15">
              <w:t xml:space="preserve">work instructions, including job sheets, cutting lists, plans, drawings and designs </w:t>
            </w:r>
          </w:p>
          <w:p w:rsidR="00000000" w:rsidRPr="00F62B15" w:rsidP="00F62B15">
            <w:pPr>
              <w:pStyle w:val="ListBullet"/>
            </w:pPr>
            <w:r w:rsidRPr="00F62B15">
              <w:t xml:space="preserve">workplace procedures relating to reporting and communication </w:t>
            </w:r>
          </w:p>
          <w:p w:rsidR="00000000" w:rsidRPr="00F62B15" w:rsidP="00F62B15">
            <w:pPr>
              <w:pStyle w:val="ListBullet"/>
            </w:pPr>
            <w:r w:rsidRPr="00F62B15">
              <w:t>manufacturer specifications and operational procedures</w:t>
            </w:r>
          </w:p>
        </w:tc>
      </w:tr>
    </w:tbl>
    <w:p w:rsidR="00000000" w:rsidRPr="00F62B15" w:rsidP="00F62B15">
      <w:pPr>
        <w:pStyle w:val="BodyText"/>
      </w:pPr>
    </w:p>
    <w:p w:rsidR="00000000" w:rsidRPr="00F62B15" w:rsidP="00F62B15">
      <w:pPr>
        <w:pStyle w:val="AllowPageBreak"/>
      </w:pPr>
    </w:p>
    <w:p w:rsidR="00000000" w:rsidRPr="00F62B15" w:rsidP="00F62B15">
      <w:pPr>
        <w:pStyle w:val="Heading1"/>
      </w:pPr>
      <w:bookmarkStart w:id="9" w:name="O_620233"/>
      <w:bookmarkEnd w:id="9"/>
      <w:r w:rsidRPr="00F62B15">
        <w:t>Unit Mapping Information</w:t>
      </w:r>
    </w:p>
    <w:p w:rsidR="00000000" w:rsidRPr="00F62B15" w:rsidP="000824CC">
      <w:pPr>
        <w:pStyle w:val="BodyText"/>
      </w:pPr>
      <w:r w:rsidRPr="00F62B15">
        <w:t>Supersedes and is equivalent to LMFUP2002B Fit upholstery components.</w:t>
      </w:r>
    </w:p>
    <w:p w:rsidR="00000000" w:rsidRPr="00F62B15" w:rsidP="00F62B15">
      <w:pPr>
        <w:pStyle w:val="Heading1"/>
      </w:pPr>
      <w:bookmarkStart w:id="10" w:name="O_620240"/>
      <w:bookmarkEnd w:id="10"/>
      <w:r w:rsidRPr="00F62B15">
        <w:t>Links</w:t>
      </w:r>
    </w:p>
    <w:p w:rsidR="00000000" w:rsidRPr="00F62B15" w:rsidP="000824CC">
      <w:pPr>
        <w:pStyle w:val="BodyText"/>
      </w:pPr>
      <w:r w:rsidRPr="00F62B15">
        <w:t>Co</w:t>
      </w:r>
      <w:r w:rsidRPr="00F62B15">
        <w:t xml:space="preserve">mpanion Volume implementation guides are found in VETNet - </w:t>
      </w:r>
      <w:r>
        <w:fldChar w:fldCharType="begin"/>
      </w:r>
      <w:r>
        <w:instrText xml:space="preserve"> HYPERLINK "https://vetnet.gov.au/Pages/TrainingDocs.aspx?q=0601ab95-583a-4e93-b2d4-cfb27b03ed73" </w:instrText>
      </w:r>
      <w:r>
        <w:fldChar w:fldCharType="separate"/>
      </w:r>
      <w:r w:rsidRPr="005B6775">
        <w:rPr>
          <w:rStyle w:val="Hyperlink"/>
        </w:rPr>
        <w:t>https://vetnet.gov.au/Pages/TrainingDocs.aspx?q=0601ab95-583a-4e93-b2d4-cfb27b03ed73</w:t>
      </w:r>
      <w:r>
        <w:fldChar w:fldCharType="end"/>
      </w:r>
    </w:p>
    <w:p w:rsidR="00000000" w:rsidRPr="00F62B15" w:rsidP="00F62B15"/>
    <w:sectPr w:rsidSect="00F62B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15" w:rsidRPr="000824CC" w:rsidP="000824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4CC" w:rsidP="00F62B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24CC" w:rsidP="00F62B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24CC" w:rsidP="00F62B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4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2B15" w:rsidRPr="000824CC" w:rsidP="000824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4CC" w:rsidRPr="002D2AF8" w:rsidP="00F62B15">
    <w:pPr>
      <w:pStyle w:val="Header"/>
      <w:framePr w:wrap="around"/>
    </w:pPr>
    <w:r>
      <w:fldChar w:fldCharType="begin"/>
    </w:r>
    <w:r>
      <w:instrText xml:space="preserve"> TITLE   \* MERGEFORMAT </w:instrText>
    </w:r>
    <w:r>
      <w:fldChar w:fldCharType="separate"/>
    </w:r>
    <w:r>
      <w:t>MSFUP2002 Fit upholstery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0824CC" w:rsidP="00F62B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0866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60B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065A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B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2B15"/>
    <w:pPr>
      <w:spacing w:before="360" w:after="60"/>
      <w:outlineLvl w:val="0"/>
    </w:pPr>
    <w:rPr>
      <w:sz w:val="32"/>
    </w:rPr>
  </w:style>
  <w:style w:type="paragraph" w:styleId="Heading2">
    <w:name w:val="heading 2"/>
    <w:basedOn w:val="HeadingBase"/>
    <w:next w:val="BodyText"/>
    <w:link w:val="Heading2Char"/>
    <w:qFormat/>
    <w:rsid w:val="00F62B15"/>
    <w:pPr>
      <w:keepLines/>
      <w:spacing w:before="240" w:after="120"/>
      <w:outlineLvl w:val="1"/>
    </w:pPr>
    <w:rPr>
      <w:sz w:val="28"/>
      <w:szCs w:val="40"/>
    </w:rPr>
  </w:style>
  <w:style w:type="paragraph" w:styleId="Heading3">
    <w:name w:val="heading 3"/>
    <w:basedOn w:val="HeadingBase"/>
    <w:next w:val="BodyText"/>
    <w:link w:val="Heading3Char"/>
    <w:qFormat/>
    <w:rsid w:val="00F62B15"/>
    <w:pPr>
      <w:spacing w:before="180" w:after="120"/>
      <w:outlineLvl w:val="2"/>
    </w:pPr>
    <w:rPr>
      <w:spacing w:val="-10"/>
      <w:kern w:val="32"/>
    </w:rPr>
  </w:style>
  <w:style w:type="paragraph" w:styleId="Heading4">
    <w:name w:val="heading 4"/>
    <w:basedOn w:val="HeadingBase"/>
    <w:next w:val="BodyText"/>
    <w:link w:val="Heading4Char"/>
    <w:qFormat/>
    <w:rsid w:val="00F62B15"/>
    <w:pPr>
      <w:spacing w:before="160" w:after="120"/>
      <w:outlineLvl w:val="3"/>
    </w:pPr>
    <w:rPr>
      <w:sz w:val="22"/>
    </w:rPr>
  </w:style>
  <w:style w:type="paragraph" w:styleId="Heading5">
    <w:name w:val="heading 5"/>
    <w:basedOn w:val="HeadingBase"/>
    <w:next w:val="Normal"/>
    <w:link w:val="Heading5Char"/>
    <w:qFormat/>
    <w:rsid w:val="00F62B15"/>
    <w:pPr>
      <w:spacing w:before="80"/>
      <w:outlineLvl w:val="4"/>
    </w:pPr>
    <w:rPr>
      <w:color w:val="918585"/>
      <w:sz w:val="20"/>
    </w:rPr>
  </w:style>
  <w:style w:type="paragraph" w:styleId="Heading6">
    <w:name w:val="heading 6"/>
    <w:basedOn w:val="HeadingBase"/>
    <w:next w:val="Normal"/>
    <w:link w:val="Heading6Char"/>
    <w:qFormat/>
    <w:rsid w:val="00F62B15"/>
    <w:pPr>
      <w:spacing w:before="60"/>
      <w:outlineLvl w:val="5"/>
    </w:pPr>
    <w:rPr>
      <w:color w:val="918585"/>
      <w:sz w:val="20"/>
    </w:rPr>
  </w:style>
  <w:style w:type="paragraph" w:styleId="Heading7">
    <w:name w:val="heading 7"/>
    <w:basedOn w:val="Normal"/>
    <w:next w:val="Normal"/>
    <w:link w:val="Heading7Char"/>
    <w:qFormat/>
    <w:rsid w:val="00F62B15"/>
    <w:pPr>
      <w:ind w:left="720"/>
      <w:outlineLvl w:val="6"/>
    </w:pPr>
    <w:rPr>
      <w:i/>
    </w:rPr>
  </w:style>
  <w:style w:type="paragraph" w:styleId="Heading8">
    <w:name w:val="heading 8"/>
    <w:basedOn w:val="Normal"/>
    <w:next w:val="Normal"/>
    <w:link w:val="Heading8Char"/>
    <w:qFormat/>
    <w:rsid w:val="00F62B15"/>
    <w:pPr>
      <w:ind w:left="720"/>
      <w:outlineLvl w:val="7"/>
    </w:pPr>
    <w:rPr>
      <w:i/>
    </w:rPr>
  </w:style>
  <w:style w:type="paragraph" w:styleId="Heading9">
    <w:name w:val="heading 9"/>
    <w:basedOn w:val="Normal"/>
    <w:next w:val="Normal"/>
    <w:link w:val="Heading9Char"/>
    <w:qFormat/>
    <w:rsid w:val="00F62B15"/>
    <w:pPr>
      <w:ind w:left="720"/>
      <w:outlineLvl w:val="8"/>
    </w:pPr>
    <w:rPr>
      <w:i/>
    </w:rPr>
  </w:style>
  <w:style w:type="character" w:default="1" w:styleId="DefaultParagraphFont">
    <w:name w:val="Default Paragraph Font"/>
    <w:uiPriority w:val="1"/>
    <w:unhideWhenUsed/>
    <w:rsid w:val="00F62B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2B15"/>
  </w:style>
  <w:style w:type="character" w:customStyle="1" w:styleId="Heading1Char">
    <w:name w:val="Heading 1 Char"/>
    <w:basedOn w:val="DefaultParagraphFont"/>
    <w:link w:val="Heading1"/>
    <w:rsid w:val="00F62B15"/>
    <w:rPr>
      <w:rFonts w:ascii="Times New Roman" w:eastAsia="Times New Roman" w:hAnsi="Times New Roman" w:cs="Times New Roman"/>
      <w:b/>
      <w:sz w:val="32"/>
      <w:szCs w:val="20"/>
      <w:lang w:eastAsia="en-US"/>
    </w:rPr>
  </w:style>
  <w:style w:type="paragraph" w:styleId="BodyText">
    <w:name w:val="Body Text"/>
    <w:basedOn w:val="Normal"/>
    <w:link w:val="BodyTextChar"/>
    <w:rsid w:val="00F62B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2B15"/>
    <w:rPr>
      <w:rFonts w:ascii="Times New Roman" w:eastAsia="Times New Roman" w:hAnsi="Times New Roman" w:cs="Times New Roman"/>
      <w:sz w:val="24"/>
      <w:lang w:eastAsia="en-US"/>
    </w:rPr>
  </w:style>
  <w:style w:type="paragraph" w:styleId="ListBullet">
    <w:name w:val="List Bullet"/>
    <w:basedOn w:val="List"/>
    <w:rsid w:val="00F62B15"/>
    <w:pPr>
      <w:numPr>
        <w:numId w:val="12"/>
      </w:numPr>
      <w:tabs>
        <w:tab w:val="clear" w:pos="340"/>
      </w:tabs>
      <w:spacing w:before="40" w:after="40"/>
    </w:pPr>
  </w:style>
  <w:style w:type="character" w:customStyle="1" w:styleId="SpecialBold">
    <w:name w:val="Special Bold"/>
    <w:basedOn w:val="DefaultParagraphFont"/>
    <w:rsid w:val="00F62B15"/>
    <w:rPr>
      <w:b/>
      <w:spacing w:val="0"/>
    </w:rPr>
  </w:style>
  <w:style w:type="paragraph" w:styleId="ListBullet2">
    <w:name w:val="List Bullet 2"/>
    <w:basedOn w:val="List2"/>
    <w:rsid w:val="00F62B15"/>
    <w:pPr>
      <w:numPr>
        <w:numId w:val="13"/>
      </w:numPr>
      <w:tabs>
        <w:tab w:val="clear" w:pos="680"/>
      </w:tabs>
    </w:pPr>
  </w:style>
  <w:style w:type="paragraph" w:customStyle="1" w:styleId="SuperHeading">
    <w:name w:val="SuperHeading"/>
    <w:basedOn w:val="Normal"/>
    <w:rsid w:val="00F62B15"/>
    <w:pPr>
      <w:spacing w:before="240" w:after="120"/>
      <w:outlineLvl w:val="0"/>
    </w:pPr>
    <w:rPr>
      <w:rFonts w:ascii="Times New Roman" w:hAnsi="Times New Roman"/>
      <w:b/>
      <w:sz w:val="32"/>
    </w:rPr>
  </w:style>
  <w:style w:type="paragraph" w:customStyle="1" w:styleId="AllowPageBreak">
    <w:name w:val="AllowPageBreak"/>
    <w:rsid w:val="00F62B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2B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2B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2B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2B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2B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2B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2B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2B15"/>
    <w:rPr>
      <w:rFonts w:ascii="Courier New" w:eastAsia="Times New Roman" w:hAnsi="Courier New" w:cs="Times New Roman"/>
      <w:i/>
      <w:szCs w:val="20"/>
      <w:lang w:eastAsia="en-US"/>
    </w:rPr>
  </w:style>
  <w:style w:type="paragraph" w:customStyle="1" w:styleId="HeadingBase">
    <w:name w:val="Heading Base"/>
    <w:rsid w:val="00F62B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2B15"/>
    <w:pPr>
      <w:tabs>
        <w:tab w:val="right" w:leader="dot" w:pos="9072"/>
      </w:tabs>
      <w:ind w:left="567"/>
    </w:pPr>
    <w:rPr>
      <w:szCs w:val="22"/>
    </w:rPr>
  </w:style>
  <w:style w:type="paragraph" w:customStyle="1" w:styleId="TOCBase">
    <w:name w:val="TOC Base"/>
    <w:rsid w:val="00F62B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2B15"/>
    <w:pPr>
      <w:tabs>
        <w:tab w:val="right" w:leader="dot" w:pos="9072"/>
      </w:tabs>
      <w:spacing w:before="40" w:after="40"/>
      <w:ind w:left="284"/>
    </w:pPr>
    <w:rPr>
      <w:rFonts w:ascii="Times New Roman" w:hAnsi="Times New Roman"/>
    </w:rPr>
  </w:style>
  <w:style w:type="paragraph" w:styleId="TOC1">
    <w:name w:val="toc 1"/>
    <w:basedOn w:val="TOCBase"/>
    <w:next w:val="Normal"/>
    <w:rsid w:val="00F62B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2B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2B15"/>
    <w:rPr>
      <w:rFonts w:ascii="Times New Roman" w:eastAsia="Times New Roman" w:hAnsi="Times New Roman" w:cs="Times New Roman"/>
      <w:sz w:val="16"/>
      <w:lang w:eastAsia="en-US"/>
    </w:rPr>
  </w:style>
  <w:style w:type="paragraph" w:styleId="Title">
    <w:name w:val="Title"/>
    <w:basedOn w:val="HeadingBase"/>
    <w:link w:val="TitleChar"/>
    <w:qFormat/>
    <w:rsid w:val="00F62B15"/>
    <w:pPr>
      <w:spacing w:before="5040"/>
      <w:jc w:val="center"/>
    </w:pPr>
    <w:rPr>
      <w:sz w:val="48"/>
      <w:szCs w:val="72"/>
      <w:lang w:val="en-US"/>
    </w:rPr>
  </w:style>
  <w:style w:type="character" w:customStyle="1" w:styleId="TitleChar">
    <w:name w:val="Title Char"/>
    <w:basedOn w:val="DefaultParagraphFont"/>
    <w:link w:val="Title"/>
    <w:rsid w:val="00F62B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2B15"/>
    <w:pPr>
      <w:tabs>
        <w:tab w:val="left" w:pos="3600"/>
        <w:tab w:val="left" w:pos="3958"/>
      </w:tabs>
    </w:pPr>
  </w:style>
  <w:style w:type="paragraph" w:styleId="List">
    <w:name w:val="List"/>
    <w:basedOn w:val="BodyText"/>
    <w:next w:val="BodyText"/>
    <w:rsid w:val="00F62B15"/>
    <w:pPr>
      <w:tabs>
        <w:tab w:val="left" w:pos="340"/>
      </w:tabs>
      <w:spacing w:before="60" w:after="60"/>
      <w:ind w:left="340" w:hanging="340"/>
    </w:pPr>
  </w:style>
  <w:style w:type="paragraph" w:customStyle="1" w:styleId="Note">
    <w:name w:val="Note"/>
    <w:basedOn w:val="BodyText"/>
    <w:rsid w:val="00F62B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2B15"/>
    <w:pPr>
      <w:framePr w:wrap="auto" w:hAnchor="text" w:y="6049"/>
    </w:pPr>
    <w:rPr>
      <w:color w:val="000000"/>
      <w:sz w:val="40"/>
    </w:rPr>
  </w:style>
  <w:style w:type="paragraph" w:customStyle="1" w:styleId="TOCTitle">
    <w:name w:val="TOCTitle"/>
    <w:basedOn w:val="Heading1"/>
    <w:rsid w:val="00F62B15"/>
    <w:pPr>
      <w:spacing w:after="240"/>
      <w:jc w:val="center"/>
      <w:outlineLvl w:val="9"/>
    </w:pPr>
    <w:rPr>
      <w:caps/>
    </w:rPr>
  </w:style>
  <w:style w:type="paragraph" w:customStyle="1" w:styleId="Version">
    <w:name w:val="Version"/>
    <w:rsid w:val="00F62B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2B15"/>
    <w:pPr>
      <w:keepNext w:val="0"/>
      <w:tabs>
        <w:tab w:val="right" w:pos="4176"/>
      </w:tabs>
      <w:ind w:left="198" w:hanging="198"/>
    </w:pPr>
    <w:rPr>
      <w:rFonts w:ascii="Garamond" w:hAnsi="Garamond"/>
    </w:rPr>
  </w:style>
  <w:style w:type="paragraph" w:styleId="IndexHeading">
    <w:name w:val="index heading"/>
    <w:basedOn w:val="Normal"/>
    <w:next w:val="Index1"/>
    <w:semiHidden/>
    <w:rsid w:val="00F62B15"/>
    <w:pPr>
      <w:spacing w:before="120" w:after="120"/>
    </w:pPr>
    <w:rPr>
      <w:rFonts w:ascii="Arial" w:hAnsi="Arial"/>
      <w:b/>
      <w:color w:val="918585"/>
      <w:sz w:val="24"/>
    </w:rPr>
  </w:style>
  <w:style w:type="paragraph" w:styleId="Header">
    <w:name w:val="header"/>
    <w:basedOn w:val="Normal"/>
    <w:link w:val="HeaderChar"/>
    <w:rsid w:val="00F62B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2B15"/>
    <w:rPr>
      <w:rFonts w:ascii="Times New Roman" w:eastAsia="Times New Roman" w:hAnsi="Times New Roman" w:cs="Times New Roman"/>
      <w:sz w:val="16"/>
      <w:szCs w:val="20"/>
      <w:lang w:val="en-GB" w:eastAsia="en-US"/>
    </w:rPr>
  </w:style>
  <w:style w:type="paragraph" w:customStyle="1" w:styleId="Chapter">
    <w:name w:val="Chapter"/>
    <w:basedOn w:val="Normal"/>
    <w:rsid w:val="00F62B15"/>
    <w:pPr>
      <w:spacing w:before="240"/>
    </w:pPr>
    <w:rPr>
      <w:rFonts w:ascii="Times New Roman" w:hAnsi="Times New Roman"/>
      <w:smallCaps/>
      <w:spacing w:val="80"/>
      <w:sz w:val="28"/>
    </w:rPr>
  </w:style>
  <w:style w:type="paragraph" w:customStyle="1" w:styleId="InChapter">
    <w:name w:val="InChapter"/>
    <w:basedOn w:val="Heading3"/>
    <w:rsid w:val="00F62B15"/>
    <w:pPr>
      <w:spacing w:after="240"/>
      <w:outlineLvl w:val="9"/>
    </w:pPr>
    <w:rPr>
      <w:noProof/>
    </w:rPr>
  </w:style>
  <w:style w:type="paragraph" w:styleId="Index2">
    <w:name w:val="index 2"/>
    <w:basedOn w:val="Normal"/>
    <w:next w:val="Normal"/>
    <w:semiHidden/>
    <w:rsid w:val="00F62B15"/>
    <w:pPr>
      <w:tabs>
        <w:tab w:val="right" w:pos="4176"/>
      </w:tabs>
      <w:ind w:left="568" w:hanging="284"/>
    </w:pPr>
    <w:rPr>
      <w:rFonts w:ascii="Garamond" w:hAnsi="Garamond"/>
    </w:rPr>
  </w:style>
  <w:style w:type="paragraph" w:customStyle="1" w:styleId="Byline">
    <w:name w:val="Byline"/>
    <w:rsid w:val="00F62B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2B15"/>
    <w:pPr>
      <w:tabs>
        <w:tab w:val="clear" w:pos="3600"/>
        <w:tab w:val="clear" w:pos="3958"/>
      </w:tabs>
      <w:jc w:val="right"/>
    </w:pPr>
  </w:style>
  <w:style w:type="character" w:styleId="Emphasis">
    <w:name w:val="Emphasis"/>
    <w:basedOn w:val="DefaultParagraphFont"/>
    <w:qFormat/>
    <w:rsid w:val="00F62B15"/>
    <w:rPr>
      <w:i/>
    </w:rPr>
  </w:style>
  <w:style w:type="paragraph" w:styleId="Caption">
    <w:name w:val="caption"/>
    <w:basedOn w:val="BodyText"/>
    <w:next w:val="Normal"/>
    <w:qFormat/>
    <w:rsid w:val="00F62B15"/>
    <w:pPr>
      <w:framePr w:w="2268" w:hSpace="181" w:vSpace="181" w:wrap="around" w:vAnchor="text" w:hAnchor="page" w:x="1135" w:y="285" w:anchorLock="1"/>
    </w:pPr>
    <w:rPr>
      <w:i/>
    </w:rPr>
  </w:style>
  <w:style w:type="paragraph" w:customStyle="1" w:styleId="MiniTOCTitle">
    <w:name w:val="MiniTOCTitle"/>
    <w:basedOn w:val="Heading4"/>
    <w:rsid w:val="00F62B15"/>
    <w:pPr>
      <w:spacing w:before="240"/>
      <w:outlineLvl w:val="9"/>
    </w:pPr>
    <w:rPr>
      <w:noProof/>
      <w:sz w:val="24"/>
    </w:rPr>
  </w:style>
  <w:style w:type="paragraph" w:customStyle="1" w:styleId="MiniTOCItem">
    <w:name w:val="MiniTOCItem"/>
    <w:basedOn w:val="ListBullet"/>
    <w:rsid w:val="00F62B15"/>
    <w:pPr>
      <w:numPr>
        <w:numId w:val="0"/>
      </w:numPr>
      <w:tabs>
        <w:tab w:val="right" w:leader="dot" w:pos="6521"/>
      </w:tabs>
      <w:spacing w:before="0" w:after="0"/>
    </w:pPr>
  </w:style>
  <w:style w:type="paragraph" w:customStyle="1" w:styleId="TOFTitle">
    <w:name w:val="TOFTitle"/>
    <w:basedOn w:val="TOCTitle"/>
    <w:rsid w:val="00F62B15"/>
  </w:style>
  <w:style w:type="paragraph" w:styleId="TableofFigures">
    <w:name w:val="table of figures"/>
    <w:basedOn w:val="Normal"/>
    <w:next w:val="Normal"/>
    <w:semiHidden/>
    <w:rsid w:val="00F62B15"/>
    <w:pPr>
      <w:tabs>
        <w:tab w:val="right" w:leader="dot" w:pos="9072"/>
      </w:tabs>
      <w:ind w:left="970" w:hanging="403"/>
    </w:pPr>
    <w:rPr>
      <w:rFonts w:ascii="Times New Roman" w:hAnsi="Times New Roman"/>
      <w:b/>
    </w:rPr>
  </w:style>
  <w:style w:type="paragraph" w:styleId="ListNumber">
    <w:name w:val="List Number"/>
    <w:basedOn w:val="List"/>
    <w:rsid w:val="00F62B15"/>
    <w:pPr>
      <w:numPr>
        <w:numId w:val="15"/>
      </w:numPr>
      <w:tabs>
        <w:tab w:val="clear" w:pos="340"/>
      </w:tabs>
    </w:pPr>
  </w:style>
  <w:style w:type="character" w:customStyle="1" w:styleId="WingdingSymbols">
    <w:name w:val="Wingding Symbols"/>
    <w:rsid w:val="00F62B15"/>
    <w:rPr>
      <w:rFonts w:ascii="Wingdings" w:hAnsi="Wingdings"/>
    </w:rPr>
  </w:style>
  <w:style w:type="paragraph" w:customStyle="1" w:styleId="TableHeading">
    <w:name w:val="Table Heading"/>
    <w:basedOn w:val="HeadingBase"/>
    <w:rsid w:val="00F62B15"/>
    <w:pPr>
      <w:keepLines/>
      <w:pBdr>
        <w:bottom w:val="single" w:sz="6" w:space="1" w:color="918585"/>
      </w:pBdr>
      <w:spacing w:before="240"/>
    </w:pPr>
  </w:style>
  <w:style w:type="character" w:customStyle="1" w:styleId="HotSpot">
    <w:name w:val="HotSpot"/>
    <w:rsid w:val="00F62B15"/>
    <w:rPr>
      <w:color w:val="0033CC"/>
      <w:u w:val="none"/>
    </w:rPr>
  </w:style>
  <w:style w:type="paragraph" w:customStyle="1" w:styleId="BodyTextRight">
    <w:name w:val="Body Text Right"/>
    <w:basedOn w:val="BodyText"/>
    <w:rsid w:val="00F62B15"/>
    <w:pPr>
      <w:spacing w:before="0" w:after="0"/>
      <w:jc w:val="right"/>
    </w:pPr>
  </w:style>
  <w:style w:type="paragraph" w:styleId="Index3">
    <w:name w:val="index 3"/>
    <w:basedOn w:val="ListNumber2"/>
    <w:next w:val="Normal"/>
    <w:semiHidden/>
    <w:rsid w:val="00F62B15"/>
    <w:pPr>
      <w:numPr>
        <w:numId w:val="0"/>
      </w:numPr>
      <w:tabs>
        <w:tab w:val="right" w:leader="dot" w:pos="4176"/>
      </w:tabs>
    </w:pPr>
  </w:style>
  <w:style w:type="paragraph" w:styleId="ListNumber2">
    <w:name w:val="List Number 2"/>
    <w:basedOn w:val="List2"/>
    <w:rsid w:val="00F62B15"/>
    <w:pPr>
      <w:numPr>
        <w:numId w:val="10"/>
      </w:numPr>
      <w:tabs>
        <w:tab w:val="clear" w:pos="1060"/>
      </w:tabs>
    </w:pPr>
  </w:style>
  <w:style w:type="paragraph" w:customStyle="1" w:styleId="MarginNote">
    <w:name w:val="Margin Note"/>
    <w:basedOn w:val="BodyText"/>
    <w:rsid w:val="00F62B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2B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2B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2B15"/>
    <w:rPr>
      <w:sz w:val="32"/>
    </w:rPr>
  </w:style>
  <w:style w:type="paragraph" w:customStyle="1" w:styleId="HeadingProcedure">
    <w:name w:val="Heading Procedure"/>
    <w:basedOn w:val="HeadingBase"/>
    <w:next w:val="Normal"/>
    <w:rsid w:val="00F62B15"/>
    <w:pPr>
      <w:tabs>
        <w:tab w:val="left" w:pos="0"/>
      </w:tabs>
      <w:spacing w:before="120" w:after="60"/>
    </w:pPr>
    <w:rPr>
      <w:i/>
      <w:color w:val="918585"/>
      <w:sz w:val="22"/>
    </w:rPr>
  </w:style>
  <w:style w:type="paragraph" w:customStyle="1" w:styleId="TableBodyText">
    <w:name w:val="Table Body Text"/>
    <w:basedOn w:val="BodyText"/>
    <w:rsid w:val="00F62B15"/>
    <w:pPr>
      <w:spacing w:before="60" w:after="60"/>
    </w:pPr>
  </w:style>
  <w:style w:type="paragraph" w:styleId="ListContinue">
    <w:name w:val="List Continue"/>
    <w:basedOn w:val="List"/>
    <w:rsid w:val="00F62B15"/>
    <w:pPr>
      <w:ind w:firstLine="0"/>
    </w:pPr>
  </w:style>
  <w:style w:type="paragraph" w:customStyle="1" w:styleId="ListNote">
    <w:name w:val="List Note"/>
    <w:basedOn w:val="List"/>
    <w:rsid w:val="00F62B15"/>
    <w:pPr>
      <w:pBdr>
        <w:top w:val="single" w:sz="6" w:space="2" w:color="918585"/>
        <w:bottom w:val="single" w:sz="6" w:space="2" w:color="918585"/>
      </w:pBdr>
      <w:tabs>
        <w:tab w:val="left" w:pos="1021"/>
      </w:tabs>
      <w:ind w:firstLine="0"/>
    </w:pPr>
  </w:style>
  <w:style w:type="paragraph" w:customStyle="1" w:styleId="Warning">
    <w:name w:val="Warning"/>
    <w:basedOn w:val="BodyText"/>
    <w:rsid w:val="00F62B15"/>
    <w:pPr>
      <w:shd w:val="clear" w:color="auto" w:fill="D9D9D9"/>
      <w:tabs>
        <w:tab w:val="left" w:pos="992"/>
      </w:tabs>
      <w:ind w:left="119" w:right="119"/>
    </w:pPr>
    <w:rPr>
      <w:sz w:val="20"/>
    </w:rPr>
  </w:style>
  <w:style w:type="paragraph" w:customStyle="1" w:styleId="MarginIcons">
    <w:name w:val="Margin Icons"/>
    <w:basedOn w:val="BodyText"/>
    <w:rsid w:val="00F62B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2B15"/>
    <w:rPr>
      <w:rFonts w:ascii="Courier New" w:hAnsi="Courier New"/>
    </w:rPr>
  </w:style>
  <w:style w:type="paragraph" w:customStyle="1" w:styleId="NoteBullet">
    <w:name w:val="Note Bullet"/>
    <w:basedOn w:val="Note"/>
    <w:rsid w:val="00F62B15"/>
    <w:pPr>
      <w:tabs>
        <w:tab w:val="clear" w:pos="680"/>
      </w:tabs>
      <w:spacing w:before="60" w:after="60"/>
    </w:pPr>
  </w:style>
  <w:style w:type="paragraph" w:customStyle="1" w:styleId="SubHeading2">
    <w:name w:val="SubHeading2"/>
    <w:basedOn w:val="HeadingBase"/>
    <w:rsid w:val="00F62B15"/>
    <w:pPr>
      <w:spacing w:before="240" w:after="60"/>
    </w:pPr>
    <w:rPr>
      <w:sz w:val="20"/>
    </w:rPr>
  </w:style>
  <w:style w:type="paragraph" w:customStyle="1" w:styleId="SubHeading1">
    <w:name w:val="SubHeading1"/>
    <w:basedOn w:val="HeadingBase"/>
    <w:rsid w:val="00F62B15"/>
    <w:pPr>
      <w:spacing w:before="240" w:after="60"/>
    </w:pPr>
    <w:rPr>
      <w:color w:val="918585"/>
      <w:sz w:val="22"/>
    </w:rPr>
  </w:style>
  <w:style w:type="paragraph" w:customStyle="1" w:styleId="SideHeading">
    <w:name w:val="Side Heading"/>
    <w:basedOn w:val="HeadingBase"/>
    <w:rsid w:val="00F62B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2B15"/>
    <w:pPr>
      <w:tabs>
        <w:tab w:val="num" w:pos="360"/>
      </w:tabs>
    </w:pPr>
  </w:style>
  <w:style w:type="paragraph" w:styleId="PlainText">
    <w:name w:val="Plain Text"/>
    <w:basedOn w:val="Normal"/>
    <w:link w:val="PlainTextChar"/>
    <w:rsid w:val="00F62B15"/>
    <w:rPr>
      <w:sz w:val="20"/>
    </w:rPr>
  </w:style>
  <w:style w:type="character" w:customStyle="1" w:styleId="PlainTextChar">
    <w:name w:val="Plain Text Char"/>
    <w:basedOn w:val="DefaultParagraphFont"/>
    <w:link w:val="PlainText"/>
    <w:rsid w:val="00F62B15"/>
    <w:rPr>
      <w:rFonts w:ascii="Courier New" w:eastAsia="Times New Roman" w:hAnsi="Courier New" w:cs="Times New Roman"/>
      <w:sz w:val="20"/>
      <w:szCs w:val="20"/>
      <w:lang w:eastAsia="en-US"/>
    </w:rPr>
  </w:style>
  <w:style w:type="character" w:customStyle="1" w:styleId="MenuOption">
    <w:name w:val="Menu Option"/>
    <w:basedOn w:val="DefaultParagraphFont"/>
    <w:rsid w:val="00F62B15"/>
    <w:rPr>
      <w:b/>
      <w:smallCaps/>
    </w:rPr>
  </w:style>
  <w:style w:type="paragraph" w:customStyle="1" w:styleId="TableListNumber">
    <w:name w:val="Table List Number"/>
    <w:basedOn w:val="ListNumber"/>
    <w:rsid w:val="00F62B15"/>
    <w:pPr>
      <w:numPr>
        <w:numId w:val="0"/>
      </w:numPr>
    </w:pPr>
  </w:style>
  <w:style w:type="paragraph" w:styleId="TOC4">
    <w:name w:val="toc 4"/>
    <w:basedOn w:val="TOCBase"/>
    <w:next w:val="Normal"/>
    <w:semiHidden/>
    <w:rsid w:val="00F62B15"/>
    <w:pPr>
      <w:tabs>
        <w:tab w:val="right" w:leader="dot" w:pos="9071"/>
      </w:tabs>
      <w:ind w:left="1701"/>
    </w:pPr>
  </w:style>
  <w:style w:type="paragraph" w:customStyle="1" w:styleId="ListAlpha">
    <w:name w:val="List Alpha"/>
    <w:basedOn w:val="List"/>
    <w:rsid w:val="00F62B15"/>
    <w:pPr>
      <w:numPr>
        <w:numId w:val="9"/>
      </w:numPr>
    </w:pPr>
  </w:style>
  <w:style w:type="paragraph" w:customStyle="1" w:styleId="ListAlpha2">
    <w:name w:val="List Alpha 2"/>
    <w:basedOn w:val="List2"/>
    <w:rsid w:val="00F62B15"/>
    <w:pPr>
      <w:numPr>
        <w:numId w:val="8"/>
      </w:numPr>
    </w:pPr>
  </w:style>
  <w:style w:type="paragraph" w:styleId="List2">
    <w:name w:val="List 2"/>
    <w:basedOn w:val="BodyText"/>
    <w:rsid w:val="00F62B15"/>
    <w:pPr>
      <w:tabs>
        <w:tab w:val="left" w:pos="680"/>
      </w:tabs>
      <w:spacing w:before="60" w:after="60"/>
      <w:ind w:left="680" w:hanging="340"/>
    </w:pPr>
  </w:style>
  <w:style w:type="paragraph" w:styleId="List3">
    <w:name w:val="List 3"/>
    <w:basedOn w:val="BodyText"/>
    <w:rsid w:val="00F62B15"/>
    <w:pPr>
      <w:tabs>
        <w:tab w:val="left" w:pos="1021"/>
      </w:tabs>
      <w:spacing w:before="60" w:after="60"/>
      <w:ind w:left="1020" w:hanging="340"/>
    </w:pPr>
  </w:style>
  <w:style w:type="paragraph" w:styleId="List4">
    <w:name w:val="List 4"/>
    <w:basedOn w:val="BodyText"/>
    <w:rsid w:val="00F62B15"/>
    <w:pPr>
      <w:tabs>
        <w:tab w:val="left" w:pos="1361"/>
      </w:tabs>
      <w:spacing w:before="60" w:after="60"/>
      <w:ind w:left="1361" w:hanging="340"/>
    </w:pPr>
  </w:style>
  <w:style w:type="paragraph" w:styleId="List5">
    <w:name w:val="List 5"/>
    <w:basedOn w:val="BodyText"/>
    <w:rsid w:val="00F62B15"/>
    <w:pPr>
      <w:tabs>
        <w:tab w:val="left" w:pos="1701"/>
      </w:tabs>
      <w:spacing w:before="60" w:after="60"/>
      <w:ind w:left="1701" w:hanging="340"/>
    </w:pPr>
  </w:style>
  <w:style w:type="paragraph" w:styleId="ListBullet3">
    <w:name w:val="List Bullet 3"/>
    <w:basedOn w:val="List3"/>
    <w:rsid w:val="00F62B15"/>
    <w:pPr>
      <w:numPr>
        <w:numId w:val="14"/>
      </w:numPr>
      <w:tabs>
        <w:tab w:val="clear" w:pos="1021"/>
      </w:tabs>
      <w:ind w:left="1037" w:hanging="357"/>
    </w:pPr>
  </w:style>
  <w:style w:type="paragraph" w:styleId="ListBullet4">
    <w:name w:val="List Bullet 4"/>
    <w:basedOn w:val="List4"/>
    <w:rsid w:val="00F62B15"/>
    <w:pPr>
      <w:numPr>
        <w:numId w:val="3"/>
      </w:numPr>
      <w:tabs>
        <w:tab w:val="clear" w:pos="1361"/>
      </w:tabs>
    </w:pPr>
  </w:style>
  <w:style w:type="paragraph" w:styleId="ListBullet5">
    <w:name w:val="List Bullet 5"/>
    <w:basedOn w:val="List5"/>
    <w:rsid w:val="00F62B15"/>
    <w:pPr>
      <w:numPr>
        <w:numId w:val="4"/>
      </w:numPr>
    </w:pPr>
  </w:style>
  <w:style w:type="paragraph" w:styleId="ListContinue2">
    <w:name w:val="List Continue 2"/>
    <w:basedOn w:val="List2"/>
    <w:rsid w:val="00F62B15"/>
    <w:pPr>
      <w:ind w:firstLine="0"/>
    </w:pPr>
  </w:style>
  <w:style w:type="paragraph" w:styleId="ListContinue3">
    <w:name w:val="List Continue 3"/>
    <w:basedOn w:val="List3"/>
    <w:rsid w:val="00F62B15"/>
    <w:pPr>
      <w:ind w:left="1021" w:firstLine="0"/>
    </w:pPr>
  </w:style>
  <w:style w:type="paragraph" w:styleId="ListContinue4">
    <w:name w:val="List Continue 4"/>
    <w:basedOn w:val="List4"/>
    <w:rsid w:val="00F62B15"/>
    <w:pPr>
      <w:ind w:firstLine="0"/>
    </w:pPr>
  </w:style>
  <w:style w:type="paragraph" w:styleId="ListContinue5">
    <w:name w:val="List Continue 5"/>
    <w:basedOn w:val="List5"/>
    <w:rsid w:val="00F62B15"/>
    <w:pPr>
      <w:ind w:firstLine="0"/>
    </w:pPr>
  </w:style>
  <w:style w:type="paragraph" w:styleId="ListNumber3">
    <w:name w:val="List Number 3"/>
    <w:basedOn w:val="List3"/>
    <w:rsid w:val="00F62B15"/>
    <w:pPr>
      <w:numPr>
        <w:numId w:val="5"/>
      </w:numPr>
    </w:pPr>
  </w:style>
  <w:style w:type="paragraph" w:styleId="ListNumber4">
    <w:name w:val="List Number 4"/>
    <w:basedOn w:val="List4"/>
    <w:rsid w:val="00F62B15"/>
    <w:pPr>
      <w:numPr>
        <w:numId w:val="6"/>
      </w:numPr>
    </w:pPr>
  </w:style>
  <w:style w:type="paragraph" w:styleId="ListNumber5">
    <w:name w:val="List Number 5"/>
    <w:basedOn w:val="List5"/>
    <w:rsid w:val="00F62B15"/>
    <w:pPr>
      <w:numPr>
        <w:numId w:val="7"/>
      </w:numPr>
    </w:pPr>
  </w:style>
  <w:style w:type="paragraph" w:styleId="BlockText">
    <w:name w:val="Block Text"/>
    <w:basedOn w:val="Normal"/>
    <w:rsid w:val="00F62B15"/>
    <w:pPr>
      <w:spacing w:after="120"/>
      <w:ind w:left="1440" w:right="1440"/>
    </w:pPr>
  </w:style>
  <w:style w:type="character" w:customStyle="1" w:styleId="Subscript">
    <w:name w:val="Subscript"/>
    <w:basedOn w:val="DefaultParagraphFont"/>
    <w:rsid w:val="00F62B15"/>
    <w:rPr>
      <w:sz w:val="16"/>
      <w:vertAlign w:val="subscript"/>
    </w:rPr>
  </w:style>
  <w:style w:type="character" w:customStyle="1" w:styleId="Superscript">
    <w:name w:val="Superscript"/>
    <w:basedOn w:val="DefaultParagraphFont"/>
    <w:rsid w:val="00F62B15"/>
    <w:rPr>
      <w:sz w:val="16"/>
      <w:vertAlign w:val="superscript"/>
    </w:rPr>
  </w:style>
  <w:style w:type="character" w:customStyle="1" w:styleId="Symbols">
    <w:name w:val="Symbols"/>
    <w:basedOn w:val="DefaultParagraphFont"/>
    <w:rsid w:val="00F62B15"/>
    <w:rPr>
      <w:rFonts w:ascii="Symbol" w:hAnsi="Symbol"/>
    </w:rPr>
  </w:style>
  <w:style w:type="character" w:customStyle="1" w:styleId="MenuOptions">
    <w:name w:val="Menu Options"/>
    <w:basedOn w:val="DefaultParagraphFont"/>
    <w:rsid w:val="00F62B15"/>
    <w:rPr>
      <w:rFonts w:ascii="Arial Narrow" w:hAnsi="Arial Narrow"/>
      <w:smallCaps/>
    </w:rPr>
  </w:style>
  <w:style w:type="character" w:customStyle="1" w:styleId="Buttons">
    <w:name w:val="Buttons"/>
    <w:basedOn w:val="DefaultParagraphFont"/>
    <w:rsid w:val="00F62B15"/>
    <w:rPr>
      <w:b/>
    </w:rPr>
  </w:style>
  <w:style w:type="character" w:customStyle="1" w:styleId="Underlined">
    <w:name w:val="Underlined"/>
    <w:basedOn w:val="DefaultParagraphFont"/>
    <w:rsid w:val="00F62B15"/>
    <w:rPr>
      <w:u w:val="single"/>
    </w:rPr>
  </w:style>
  <w:style w:type="paragraph" w:customStyle="1" w:styleId="TableBodyTextRight">
    <w:name w:val="Table Body Text Right"/>
    <w:basedOn w:val="TableBodyText"/>
    <w:rsid w:val="00F62B15"/>
    <w:pPr>
      <w:widowControl w:val="0"/>
      <w:autoSpaceDE w:val="0"/>
      <w:autoSpaceDN w:val="0"/>
      <w:adjustRightInd w:val="0"/>
      <w:jc w:val="right"/>
    </w:pPr>
    <w:rPr>
      <w:rFonts w:cs="Arial"/>
      <w:szCs w:val="18"/>
    </w:rPr>
  </w:style>
  <w:style w:type="paragraph" w:customStyle="1" w:styleId="CopyrightText">
    <w:name w:val="Copyright Text"/>
    <w:basedOn w:val="BodyText"/>
    <w:rsid w:val="00F62B15"/>
    <w:rPr>
      <w:sz w:val="18"/>
    </w:rPr>
  </w:style>
  <w:style w:type="paragraph" w:customStyle="1" w:styleId="BodySmallRight">
    <w:name w:val="Body Small Right"/>
    <w:basedOn w:val="BodyTextRight"/>
    <w:rsid w:val="00F62B15"/>
    <w:rPr>
      <w:sz w:val="18"/>
      <w:szCs w:val="18"/>
    </w:rPr>
  </w:style>
  <w:style w:type="paragraph" w:customStyle="1" w:styleId="MarginEdition">
    <w:name w:val="Margin Edition"/>
    <w:basedOn w:val="MarginNote"/>
    <w:rsid w:val="00F62B15"/>
    <w:pPr>
      <w:spacing w:before="0" w:after="0"/>
    </w:pPr>
    <w:rPr>
      <w:rFonts w:ascii="Times New Roman" w:hAnsi="Times New Roman"/>
      <w:color w:val="999999"/>
    </w:rPr>
  </w:style>
  <w:style w:type="paragraph" w:customStyle="1" w:styleId="Spacer">
    <w:name w:val="Spacer"/>
    <w:basedOn w:val="Normal"/>
    <w:rsid w:val="00F62B15"/>
    <w:rPr>
      <w:sz w:val="2"/>
      <w:szCs w:val="2"/>
    </w:rPr>
  </w:style>
  <w:style w:type="character" w:customStyle="1" w:styleId="Small">
    <w:name w:val="Small"/>
    <w:basedOn w:val="DefaultParagraphFont"/>
    <w:rsid w:val="00F62B15"/>
    <w:rPr>
      <w:sz w:val="16"/>
    </w:rPr>
  </w:style>
  <w:style w:type="paragraph" w:customStyle="1" w:styleId="WideTable">
    <w:name w:val="Wide Table"/>
    <w:basedOn w:val="Normal"/>
    <w:rsid w:val="00F62B15"/>
    <w:pPr>
      <w:ind w:left="-1418"/>
    </w:pPr>
    <w:rPr>
      <w:sz w:val="2"/>
      <w:szCs w:val="2"/>
    </w:rPr>
  </w:style>
  <w:style w:type="character" w:styleId="PageNumber">
    <w:name w:val="page number"/>
    <w:basedOn w:val="DefaultParagraphFont"/>
    <w:rsid w:val="00F62B15"/>
  </w:style>
  <w:style w:type="paragraph" w:styleId="Quote">
    <w:name w:val="Quote"/>
    <w:basedOn w:val="Heading1"/>
    <w:link w:val="QuoteChar"/>
    <w:qFormat/>
    <w:rsid w:val="00F62B15"/>
    <w:rPr>
      <w:b w:val="0"/>
      <w:sz w:val="72"/>
      <w:szCs w:val="72"/>
      <w:lang w:val="en-NZ"/>
    </w:rPr>
  </w:style>
  <w:style w:type="character" w:customStyle="1" w:styleId="QuoteChar">
    <w:name w:val="Quote Char"/>
    <w:basedOn w:val="DefaultParagraphFont"/>
    <w:link w:val="Quote"/>
    <w:rsid w:val="00F62B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2B15"/>
    <w:pPr>
      <w:pageBreakBefore/>
    </w:pPr>
  </w:style>
  <w:style w:type="paragraph" w:customStyle="1" w:styleId="Border">
    <w:name w:val="Border"/>
    <w:basedOn w:val="Normal"/>
    <w:qFormat/>
    <w:rsid w:val="00F62B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2B15"/>
    <w:rPr>
      <w:b/>
      <w:bCs/>
      <w:i/>
      <w:iCs/>
      <w:color w:val="auto"/>
    </w:rPr>
  </w:style>
  <w:style w:type="paragraph" w:styleId="IntenseQuote">
    <w:name w:val="Intense Quote"/>
    <w:basedOn w:val="Normal"/>
    <w:next w:val="Normal"/>
    <w:link w:val="IntenseQuoteChar"/>
    <w:uiPriority w:val="30"/>
    <w:qFormat/>
    <w:rsid w:val="00F62B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2B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2B15"/>
    <w:rPr>
      <w:smallCaps/>
      <w:color w:val="auto"/>
      <w:u w:val="single"/>
    </w:rPr>
  </w:style>
  <w:style w:type="character" w:styleId="IntenseReference">
    <w:name w:val="Intense Reference"/>
    <w:basedOn w:val="DefaultParagraphFont"/>
    <w:uiPriority w:val="32"/>
    <w:qFormat/>
    <w:rsid w:val="00F62B15"/>
    <w:rPr>
      <w:b/>
      <w:bCs/>
      <w:smallCaps/>
      <w:color w:val="auto"/>
      <w:spacing w:val="5"/>
      <w:u w:val="single"/>
    </w:rPr>
  </w:style>
  <w:style w:type="paragraph" w:customStyle="1" w:styleId="2ColumnHeading">
    <w:name w:val="2Column Heading"/>
    <w:basedOn w:val="BodyText"/>
    <w:qFormat/>
    <w:rsid w:val="00F62B15"/>
    <w:pPr>
      <w:spacing w:after="60"/>
      <w:ind w:left="-2268"/>
    </w:pPr>
    <w:rPr>
      <w:b/>
    </w:rPr>
  </w:style>
  <w:style w:type="paragraph" w:customStyle="1" w:styleId="Heading1TOC">
    <w:name w:val="Heading1 TOC"/>
    <w:basedOn w:val="Normal"/>
    <w:qFormat/>
    <w:rsid w:val="00F62B15"/>
    <w:pPr>
      <w:spacing w:before="240" w:after="120"/>
    </w:pPr>
    <w:rPr>
      <w:rFonts w:ascii="Times New Roman" w:hAnsi="Times New Roman"/>
      <w:b/>
      <w:sz w:val="32"/>
    </w:rPr>
  </w:style>
  <w:style w:type="paragraph" w:customStyle="1" w:styleId="Heading2TOC">
    <w:name w:val="Heading2 TOC"/>
    <w:basedOn w:val="Normal"/>
    <w:qFormat/>
    <w:rsid w:val="00F62B15"/>
    <w:pPr>
      <w:spacing w:before="240" w:after="60"/>
    </w:pPr>
    <w:rPr>
      <w:rFonts w:ascii="Times New Roman" w:hAnsi="Times New Roman"/>
      <w:b/>
      <w:sz w:val="28"/>
    </w:rPr>
  </w:style>
  <w:style w:type="character" w:customStyle="1" w:styleId="Underline">
    <w:name w:val="Underline"/>
    <w:basedOn w:val="DefaultParagraphFont"/>
    <w:qFormat/>
    <w:rsid w:val="00F62B15"/>
    <w:rPr>
      <w:u w:val="single"/>
    </w:rPr>
  </w:style>
  <w:style w:type="character" w:customStyle="1" w:styleId="BoldandItalics">
    <w:name w:val="Bold and Italics"/>
    <w:qFormat/>
    <w:rsid w:val="00F62B15"/>
    <w:rPr>
      <w:b/>
      <w:i/>
      <w:u w:val="none"/>
    </w:rPr>
  </w:style>
  <w:style w:type="paragraph" w:styleId="BalloonText">
    <w:name w:val="Balloon Text"/>
    <w:basedOn w:val="Normal"/>
    <w:link w:val="BalloonTextChar"/>
    <w:rsid w:val="00F62B15"/>
    <w:rPr>
      <w:rFonts w:ascii="Tahoma" w:hAnsi="Tahoma" w:cs="Tahoma"/>
      <w:sz w:val="16"/>
      <w:szCs w:val="16"/>
    </w:rPr>
  </w:style>
  <w:style w:type="character" w:customStyle="1" w:styleId="BalloonTextChar">
    <w:name w:val="Balloon Text Char"/>
    <w:basedOn w:val="DefaultParagraphFont"/>
    <w:link w:val="BalloonText"/>
    <w:rsid w:val="00F62B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2B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2B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2B15"/>
    <w:rPr>
      <w:b/>
      <w:color w:val="660033"/>
      <w:spacing w:val="0"/>
    </w:rPr>
  </w:style>
  <w:style w:type="paragraph" w:customStyle="1" w:styleId="Nameditemlist">
    <w:name w:val="Named item list"/>
    <w:basedOn w:val="BodyText"/>
    <w:qFormat/>
    <w:rsid w:val="00F62B15"/>
    <w:pPr>
      <w:tabs>
        <w:tab w:val="left" w:pos="2835"/>
      </w:tabs>
      <w:ind w:left="2835" w:hanging="2835"/>
    </w:pPr>
  </w:style>
  <w:style w:type="paragraph" w:customStyle="1" w:styleId="BodyTextnopadding">
    <w:name w:val="Body Text no padding"/>
    <w:basedOn w:val="BodyText"/>
    <w:qFormat/>
    <w:rsid w:val="00F62B15"/>
    <w:pPr>
      <w:spacing w:before="0" w:after="0"/>
    </w:pPr>
  </w:style>
  <w:style w:type="paragraph" w:customStyle="1" w:styleId="BodyTextBold">
    <w:name w:val="Body Text Bold"/>
    <w:basedOn w:val="BodyText"/>
    <w:qFormat/>
    <w:rsid w:val="00F62B15"/>
    <w:rPr>
      <w:b/>
    </w:rPr>
  </w:style>
  <w:style w:type="character" w:styleId="Hyperlink">
    <w:name w:val="Hyperlink"/>
    <w:basedOn w:val="DefaultParagraphFont"/>
    <w:uiPriority w:val="99"/>
    <w:unhideWhenUsed/>
    <w:rsid w:val="000824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4638</Characters>
  <Application>Microsoft Office Word</Application>
  <DocSecurity>0</DocSecurity>
  <Lines>231</Lines>
  <Paragraphs>140</Paragraphs>
  <ScaleCrop>false</ScaleCrop>
  <Company>Author-it Software Corporation Ltd.</Company>
  <LinksUpToDate>false</LinksUpToDate>
  <CharactersWithSpaces>5208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MSFUP2002 Fit upholstery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2022-06-03T07:55:00Z</dcterms:created>
  <dcterms:modified xsi:type="dcterms:W3CDTF">2022-06-03T07:55:00Z</dcterms:modified>
</cp:coreProperties>
</file>