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325" w:rsidP="00C343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MSFSS3004 Install non-security and security screens and grilles</w:t>
      </w:r>
      <w:r>
        <w:fldChar w:fldCharType="end"/>
      </w:r>
    </w:p>
    <w:p w:rsidR="00C34325" w:rsidP="00C34325">
      <w:pPr>
        <w:pStyle w:val="Version"/>
        <w:sectPr w:rsidSect="00E778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8AD" w:rsidP="00E778AD">
      <w:pPr>
        <w:pStyle w:val="SuperHeading"/>
      </w:pPr>
      <w:r w:rsidRPr="00E778AD">
        <w:t>MSFSS3004 Install non-security and security screens and grilles</w:t>
      </w:r>
    </w:p>
    <w:p w:rsidR="00000000" w:rsidRPr="00E778AD" w:rsidP="00E778AD">
      <w:pPr>
        <w:pStyle w:val="Heading1"/>
      </w:pPr>
      <w:bookmarkStart w:id="1" w:name="O_1088569"/>
      <w:bookmarkEnd w:id="1"/>
      <w:r w:rsidRPr="00E778AD">
        <w:t>Modification History</w:t>
      </w:r>
    </w:p>
    <w:p w:rsidR="00000000" w:rsidRPr="00E778AD" w:rsidP="00C34325">
      <w:pPr>
        <w:pStyle w:val="BodyText"/>
      </w:pPr>
      <w:r w:rsidRPr="00E778AD">
        <w:t>Release 1. No equivalent unit. Supersedes but is not equivalent to MSFSS3001 Install security screens and grilles</w:t>
      </w:r>
    </w:p>
    <w:p w:rsidR="00000000" w:rsidRPr="00E778AD" w:rsidP="00E778AD">
      <w:pPr>
        <w:pStyle w:val="Heading1"/>
      </w:pPr>
      <w:bookmarkStart w:id="2" w:name="O_1088570"/>
      <w:bookmarkEnd w:id="2"/>
      <w:r w:rsidRPr="00E778AD">
        <w:t>Application</w:t>
      </w:r>
    </w:p>
    <w:p w:rsidR="00000000" w:rsidRPr="00E778AD" w:rsidP="00C34325">
      <w:pPr>
        <w:pStyle w:val="BodyText"/>
      </w:pPr>
      <w:r w:rsidRPr="00E778AD">
        <w:t>This unit of competency describes the skills and knowledge required to identify and install non-security and security screens and grilles according to job requirements. The unit involves planning job requirements, identifying required products to be instal</w:t>
      </w:r>
      <w:r w:rsidRPr="00E778AD">
        <w:t>led and their measurements and fasteners, and applying workplace procedures to ensure safe and correct installation compliant with industry and Australian standards.</w:t>
      </w:r>
    </w:p>
    <w:p w:rsidR="00000000" w:rsidRPr="00E778AD" w:rsidP="00C34325">
      <w:pPr>
        <w:pStyle w:val="BodyText"/>
      </w:pPr>
      <w:r w:rsidRPr="00E778AD">
        <w:t>The unit applies to those installing non-security and security screens and grilles in resi</w:t>
      </w:r>
      <w:r w:rsidRPr="00E778AD">
        <w:t>dential and commercial environments on surfaces, including aluminium, concrete, masonry, steel and timber.</w:t>
      </w:r>
    </w:p>
    <w:p w:rsidR="00000000" w:rsidRPr="00E778AD" w:rsidP="00C34325">
      <w:pPr>
        <w:pStyle w:val="BodyText"/>
      </w:pPr>
      <w:r w:rsidRPr="00E778AD">
        <w:t>Licensing, legislative or certification requirements may apply to this unit and relevant state/territory and local government agencies should be cons</w:t>
      </w:r>
      <w:r w:rsidRPr="00E778AD">
        <w:t xml:space="preserve">ulted to determine any necessary certification or licensing for undertaking non-security and security screens and grilles work. Access to construction sites requires certification of general induction training specified by the </w:t>
      </w:r>
      <w:r w:rsidRPr="00E778AD">
        <w:rPr>
          <w:rStyle w:val="Emphasis"/>
        </w:rPr>
        <w:t>National Code of Practice for</w:t>
      </w:r>
      <w:r w:rsidRPr="00E778AD">
        <w:rPr>
          <w:rStyle w:val="Emphasis"/>
        </w:rPr>
        <w:t xml:space="preserve"> Induction for Construction Work (ASCC 2007)</w:t>
      </w:r>
      <w:r w:rsidRPr="00E778AD">
        <w:t>.</w:t>
      </w:r>
    </w:p>
    <w:p w:rsidR="00000000" w:rsidRPr="00E778AD" w:rsidP="00E778AD">
      <w:pPr>
        <w:pStyle w:val="Heading1"/>
      </w:pPr>
      <w:bookmarkStart w:id="3" w:name="O_1088571"/>
      <w:bookmarkEnd w:id="3"/>
      <w:r w:rsidRPr="00E778AD">
        <w:t>Pre-requisite Unit</w:t>
      </w:r>
    </w:p>
    <w:p w:rsidR="00000000" w:rsidRPr="00E778AD" w:rsidP="00C34325">
      <w:pPr>
        <w:pStyle w:val="BodyText"/>
      </w:pPr>
      <w:r w:rsidRPr="00E778AD">
        <w:t>Not applicable.</w:t>
      </w:r>
    </w:p>
    <w:p w:rsidR="00000000" w:rsidRPr="00E778AD" w:rsidP="00E778AD">
      <w:pPr>
        <w:pStyle w:val="Heading1"/>
      </w:pPr>
      <w:bookmarkStart w:id="4" w:name="O_1088573"/>
      <w:bookmarkEnd w:id="4"/>
      <w:r w:rsidRPr="00E778AD">
        <w:t>Unit Sector</w:t>
      </w:r>
    </w:p>
    <w:p w:rsidR="00000000" w:rsidRPr="00E778AD" w:rsidP="00C34325">
      <w:pPr>
        <w:pStyle w:val="BodyText"/>
      </w:pPr>
      <w:r w:rsidRPr="00E778AD">
        <w:t>Non-security and security screens and grilles</w:t>
      </w:r>
    </w:p>
    <w:p w:rsidR="00000000" w:rsidRPr="00E778AD" w:rsidP="00E778AD">
      <w:pPr>
        <w:pStyle w:val="Heading1"/>
      </w:pPr>
      <w:bookmarkStart w:id="5" w:name="O_1088574"/>
      <w:bookmarkEnd w:id="5"/>
      <w:r w:rsidRPr="00E778A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718"/>
        <w:gridCol w:w="6077"/>
      </w:tblGrid>
      <w:tr w:rsidTr="00E77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8AD" w:rsidP="00E778AD">
            <w:pPr>
              <w:pStyle w:val="BodyText"/>
            </w:pPr>
            <w:r w:rsidRPr="00E778AD">
              <w:rPr>
                <w:rStyle w:val="SpecialBold"/>
              </w:rPr>
              <w:t>Elements</w:t>
            </w:r>
          </w:p>
          <w:p w:rsidR="00000000" w:rsidRPr="00E778AD" w:rsidP="00E778AD">
            <w:pPr>
              <w:pStyle w:val="BodyText"/>
            </w:pPr>
            <w:r w:rsidRPr="00E778AD">
              <w:t>Elements describe</w:t>
            </w:r>
            <w:r w:rsidRPr="00E778AD">
              <w:t xml:space="preserve"> the essential outcomes.</w:t>
            </w:r>
          </w:p>
        </w:tc>
        <w:tc>
          <w:tcPr>
            <w:tcW w:w="6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8AD" w:rsidP="00E778AD">
            <w:pPr>
              <w:pStyle w:val="BodyText"/>
            </w:pPr>
            <w:r w:rsidRPr="00E778AD">
              <w:rPr>
                <w:rStyle w:val="SpecialBold"/>
              </w:rPr>
              <w:t>Performance Criteria</w:t>
            </w:r>
          </w:p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Performance criteria describe the performance needed to demonstrate achievement of the element.</w:t>
            </w:r>
          </w:p>
        </w:tc>
      </w:tr>
      <w:tr w:rsidTr="00E77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1. Prepare for installation of non-security and security screens and grilles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1.1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Identify job and product requirements from work order and supplier instructions, and confirm with required personnel</w:t>
            </w:r>
          </w:p>
        </w:tc>
      </w:tr>
      <w:tr w:rsidTr="00E77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1.2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Complete check measure on site and document required product specifications, and specific access and installation requirements</w:t>
            </w:r>
          </w:p>
        </w:tc>
      </w:tr>
      <w:tr w:rsidTr="00E77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1.3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Identify work health and safety (WHS) and personal protection requirements of installation</w:t>
            </w:r>
          </w:p>
        </w:tc>
      </w:tr>
      <w:tr w:rsidTr="00E77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1.4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Identify and select required screens and grilles, tools and equipment based on work order, and check their safe and effective operation according to manufactur</w:t>
            </w:r>
            <w:r w:rsidRPr="00E778AD">
              <w:t>er specifications</w:t>
            </w:r>
          </w:p>
        </w:tc>
      </w:tr>
      <w:tr w:rsidTr="00E77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1.5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Plan logical, safe and efficient work sequence that reflects work order</w:t>
            </w:r>
          </w:p>
        </w:tc>
      </w:tr>
      <w:tr w:rsidTr="00E77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2. Install non-security and security screens and grilles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2.1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Set up required product, materials and equipment in line with work instructions and manufacturer s</w:t>
            </w:r>
            <w:r w:rsidRPr="00E778AD">
              <w:t>pecifications</w:t>
            </w:r>
          </w:p>
        </w:tc>
      </w:tr>
      <w:tr w:rsidTr="00E77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2.2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Prepare installation opening for screens and grilles</w:t>
            </w:r>
          </w:p>
        </w:tc>
      </w:tr>
      <w:tr w:rsidTr="00E77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2.3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Insert and fasten security screens and grilles and install locking mechanism according to work order and manufacturer specifications</w:t>
            </w:r>
          </w:p>
        </w:tc>
      </w:tr>
      <w:tr w:rsidTr="00E77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2.4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Test installed screens and grilles for correct operation within limits of normal operation, and adjust and repair performance problems in line with own level of responsibility</w:t>
            </w:r>
          </w:p>
        </w:tc>
      </w:tr>
      <w:tr w:rsidTr="00E77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3. Finalise installation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3.1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Check that completed work complies with quality an</w:t>
            </w:r>
            <w:r w:rsidRPr="00E778AD">
              <w:t>d work order requirements, and rectify identified deficiencies within scope of own role</w:t>
            </w:r>
          </w:p>
        </w:tc>
      </w:tr>
      <w:tr w:rsidTr="00E77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3.2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Clean work area and surfaces, and dispose of waste safely and sustainably according to workplace procedures</w:t>
            </w:r>
          </w:p>
        </w:tc>
      </w:tr>
      <w:tr w:rsidTr="00E77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3.3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Identify and store surplus unuse</w:t>
            </w:r>
            <w:r w:rsidRPr="00E778AD">
              <w:t>d items for re-use and recycling according to workplace procedures</w:t>
            </w:r>
          </w:p>
        </w:tc>
      </w:tr>
      <w:tr w:rsidTr="00E77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3.4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Check tools and equipment, and tag and report faulty items according to established workplace procedures</w:t>
            </w:r>
          </w:p>
        </w:tc>
      </w:tr>
      <w:tr w:rsidTr="00E77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3.5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Clean and store remaining tools and equipment according to workplace pro</w:t>
            </w:r>
            <w:r w:rsidRPr="00E778AD">
              <w:t>cedures</w:t>
            </w:r>
          </w:p>
        </w:tc>
      </w:tr>
      <w:tr w:rsidTr="00E77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3.6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Advise customer on correct operation and maintenance of screens and grilles</w:t>
            </w:r>
          </w:p>
        </w:tc>
      </w:tr>
      <w:tr w:rsidTr="00E77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3.7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8AD" w:rsidP="00E778AD">
            <w:pPr>
              <w:pStyle w:val="BodyText"/>
            </w:pPr>
            <w:r w:rsidRPr="00E778AD">
              <w:t>Legibly complete and process workplace documentation according to workplace requirements</w:t>
            </w:r>
          </w:p>
        </w:tc>
      </w:tr>
    </w:tbl>
    <w:p w:rsidR="00C34325" w:rsidP="00E778AD">
      <w:pPr>
        <w:pStyle w:val="BodyText"/>
      </w:pPr>
    </w:p>
    <w:p w:rsidR="00C34325" w:rsidP="00E778AD">
      <w:pPr>
        <w:pStyle w:val="BodyText"/>
      </w:pPr>
    </w:p>
    <w:p w:rsidR="00000000" w:rsidRPr="00E778AD" w:rsidP="00E778AD">
      <w:pPr>
        <w:pStyle w:val="Heading1"/>
      </w:pPr>
      <w:bookmarkStart w:id="6" w:name="O_1088575"/>
      <w:bookmarkEnd w:id="6"/>
      <w:r w:rsidRPr="00E778AD">
        <w:t>Foundation Skills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6760"/>
      </w:tblGrid>
      <w:tr w:rsidTr="00E778A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This section describes those language, literacy, numeracy and employment skills that are essential to performance but not explicit in the performance criteria of this unit of competency.</w:t>
            </w:r>
          </w:p>
        </w:tc>
      </w:tr>
      <w:tr w:rsidTr="00E778A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Numeracy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8AD" w:rsidP="00E778AD">
            <w:pPr>
              <w:pStyle w:val="ListBullet"/>
            </w:pPr>
            <w:r w:rsidRPr="00E778AD">
              <w:t>interpret, discuss and use mathematical information in work orders, job sheets, cutting lists, plans, drawings and designs</w:t>
            </w:r>
          </w:p>
          <w:p w:rsidR="00000000" w:rsidP="00E778AD">
            <w:pPr>
              <w:pStyle w:val="ListBullet"/>
              <w:rPr>
                <w:lang w:val="en-NZ"/>
              </w:rPr>
            </w:pPr>
            <w:r w:rsidRPr="00E778AD">
              <w:t>use a blend of ‘in the head’ and formal methods and tools to estimate and measure materials and installation spaces, including factor</w:t>
            </w:r>
            <w:r w:rsidRPr="00E778AD">
              <w:t>ing in required tolerances</w:t>
            </w:r>
          </w:p>
        </w:tc>
      </w:tr>
      <w:tr w:rsidTr="00E778A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Oral communication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8AD" w:rsidP="00E778AD">
            <w:pPr>
              <w:pStyle w:val="ListBullet"/>
            </w:pPr>
            <w:r w:rsidRPr="00E778AD">
              <w:t>confirm installation requirements and specifications, and report work outcomes and problems:</w:t>
            </w:r>
          </w:p>
          <w:p w:rsidR="00000000" w:rsidRPr="00E778AD" w:rsidP="00E778AD">
            <w:pPr>
              <w:pStyle w:val="ListBullet2"/>
            </w:pPr>
            <w:r w:rsidRPr="00E778AD">
              <w:t>speaking clearly</w:t>
            </w:r>
          </w:p>
          <w:p w:rsidR="00000000" w:rsidRPr="00E778AD" w:rsidP="00E778AD">
            <w:pPr>
              <w:pStyle w:val="ListBullet2"/>
            </w:pPr>
            <w:r w:rsidRPr="00E778AD">
              <w:t>applying effective listening techniques</w:t>
            </w:r>
          </w:p>
          <w:p w:rsidR="00000000" w:rsidP="00E778AD">
            <w:pPr>
              <w:pStyle w:val="ListBullet2"/>
              <w:rPr>
                <w:lang w:val="en-NZ"/>
              </w:rPr>
            </w:pPr>
            <w:r w:rsidRPr="00E778AD">
              <w:t>asking questions to gain information</w:t>
            </w:r>
          </w:p>
        </w:tc>
      </w:tr>
      <w:tr w:rsidTr="00E778A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8AD">
            <w:pPr>
              <w:pStyle w:val="BodyText"/>
              <w:rPr>
                <w:lang w:val="en-NZ"/>
              </w:rPr>
            </w:pPr>
            <w:r w:rsidRPr="00E778AD">
              <w:t>Reading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8AD" w:rsidP="00E778AD">
            <w:pPr>
              <w:pStyle w:val="ListBullet"/>
            </w:pPr>
            <w:r w:rsidRPr="00E778AD">
              <w:t>interpret routine workplace documentation, including work orders, WHS requirements and safety procedures, basic plans and workplace installation procedures</w:t>
            </w:r>
          </w:p>
        </w:tc>
      </w:tr>
    </w:tbl>
    <w:p w:rsidR="00C34325" w:rsidP="00E778AD">
      <w:pPr>
        <w:pStyle w:val="BodyText"/>
      </w:pPr>
    </w:p>
    <w:p w:rsidR="00C34325" w:rsidP="00E778AD">
      <w:pPr>
        <w:pStyle w:val="BodyText"/>
      </w:pPr>
    </w:p>
    <w:p w:rsidR="00000000" w:rsidRPr="00E778AD" w:rsidP="00E778AD">
      <w:pPr>
        <w:pStyle w:val="Heading1"/>
      </w:pPr>
      <w:bookmarkStart w:id="7" w:name="O_1088577"/>
      <w:bookmarkEnd w:id="7"/>
      <w:r w:rsidRPr="00E778AD">
        <w:t>Unit Mapping Information</w:t>
      </w:r>
    </w:p>
    <w:p w:rsidR="00000000" w:rsidRPr="00E778AD" w:rsidP="00C34325">
      <w:pPr>
        <w:pStyle w:val="BodyText"/>
      </w:pPr>
      <w:r w:rsidRPr="00E778AD">
        <w:t>Release 1. No equivalent unit. Supersedes but is not equivalent to MSFSS3001 Install security screens and grilles</w:t>
      </w:r>
    </w:p>
    <w:p w:rsidR="00000000" w:rsidRPr="00E778AD" w:rsidP="00E778AD">
      <w:pPr>
        <w:pStyle w:val="Heading1"/>
      </w:pPr>
      <w:bookmarkStart w:id="8" w:name="O_1088584"/>
      <w:bookmarkEnd w:id="8"/>
      <w:r w:rsidRPr="00E778AD">
        <w:t>Links</w:t>
      </w:r>
    </w:p>
    <w:p w:rsidR="00000000" w:rsidRPr="00E778AD" w:rsidP="00C34325">
      <w:pPr>
        <w:pStyle w:val="BodyText"/>
      </w:pPr>
      <w:r w:rsidRPr="00E778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8501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778AD" w:rsidP="00E778AD"/>
    <w:sectPr w:rsidSect="00E778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8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8AD" w:rsidRPr="00C34325" w:rsidP="00C343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8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25" w:rsidP="00E778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4325" w:rsidP="00E778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4325" w:rsidP="00E778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8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8AD" w:rsidRPr="00C34325" w:rsidP="00C343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8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25" w:rsidRPr="002D2AF8" w:rsidP="00E778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MSFSS3004 Install non-security and security screens and grilles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34325" w:rsidP="00E778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1479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1E4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90E0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8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8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8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8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8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8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8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8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8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8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8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8AD"/>
  </w:style>
  <w:style w:type="character" w:customStyle="1" w:styleId="Heading1Char">
    <w:name w:val="Heading 1 Char"/>
    <w:basedOn w:val="DefaultParagraphFont"/>
    <w:link w:val="Heading1"/>
    <w:rsid w:val="00E778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8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8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78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78AD"/>
    <w:rPr>
      <w:b/>
      <w:spacing w:val="0"/>
    </w:rPr>
  </w:style>
  <w:style w:type="paragraph" w:styleId="ListBullet2">
    <w:name w:val="List Bullet 2"/>
    <w:basedOn w:val="List2"/>
    <w:rsid w:val="00E778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78AD"/>
    <w:rPr>
      <w:i/>
    </w:rPr>
  </w:style>
  <w:style w:type="paragraph" w:customStyle="1" w:styleId="SuperHeading">
    <w:name w:val="SuperHeading"/>
    <w:basedOn w:val="Normal"/>
    <w:rsid w:val="00E778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8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78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8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8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8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8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8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8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8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8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8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8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8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8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8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8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78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78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8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8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78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8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8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8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8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8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8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8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8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78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8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8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8AD"/>
  </w:style>
  <w:style w:type="paragraph" w:styleId="TableofFigures">
    <w:name w:val="table of figures"/>
    <w:basedOn w:val="Normal"/>
    <w:next w:val="Normal"/>
    <w:semiHidden/>
    <w:rsid w:val="00E778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8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78AD"/>
    <w:rPr>
      <w:rFonts w:ascii="Wingdings" w:hAnsi="Wingdings"/>
    </w:rPr>
  </w:style>
  <w:style w:type="paragraph" w:customStyle="1" w:styleId="TableHeading">
    <w:name w:val="Table Heading"/>
    <w:basedOn w:val="HeadingBase"/>
    <w:rsid w:val="00E778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8AD"/>
    <w:rPr>
      <w:color w:val="0033CC"/>
      <w:u w:val="none"/>
    </w:rPr>
  </w:style>
  <w:style w:type="paragraph" w:customStyle="1" w:styleId="BodyTextRight">
    <w:name w:val="Body Text Right"/>
    <w:basedOn w:val="BodyText"/>
    <w:rsid w:val="00E778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8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8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8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8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8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8AD"/>
    <w:rPr>
      <w:sz w:val="32"/>
    </w:rPr>
  </w:style>
  <w:style w:type="paragraph" w:customStyle="1" w:styleId="HeadingProcedure">
    <w:name w:val="Heading Procedure"/>
    <w:basedOn w:val="HeadingBase"/>
    <w:next w:val="Normal"/>
    <w:rsid w:val="00E778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8AD"/>
    <w:pPr>
      <w:spacing w:before="60" w:after="60"/>
    </w:pPr>
  </w:style>
  <w:style w:type="paragraph" w:styleId="ListContinue">
    <w:name w:val="List Continue"/>
    <w:basedOn w:val="List"/>
    <w:rsid w:val="00E778AD"/>
    <w:pPr>
      <w:ind w:firstLine="0"/>
    </w:pPr>
  </w:style>
  <w:style w:type="paragraph" w:customStyle="1" w:styleId="ListNote">
    <w:name w:val="List Note"/>
    <w:basedOn w:val="List"/>
    <w:rsid w:val="00E778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8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8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8AD"/>
    <w:rPr>
      <w:rFonts w:ascii="Courier New" w:hAnsi="Courier New"/>
    </w:rPr>
  </w:style>
  <w:style w:type="paragraph" w:customStyle="1" w:styleId="NoteBullet">
    <w:name w:val="Note Bullet"/>
    <w:basedOn w:val="Note"/>
    <w:rsid w:val="00E778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8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8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8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8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78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8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8AD"/>
    <w:rPr>
      <w:b/>
      <w:smallCaps/>
    </w:rPr>
  </w:style>
  <w:style w:type="paragraph" w:customStyle="1" w:styleId="TableListNumber">
    <w:name w:val="Table List Number"/>
    <w:basedOn w:val="ListNumber"/>
    <w:rsid w:val="00E778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8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8AD"/>
    <w:pPr>
      <w:numPr>
        <w:numId w:val="9"/>
      </w:numPr>
    </w:pPr>
  </w:style>
  <w:style w:type="paragraph" w:customStyle="1" w:styleId="ListAlpha2">
    <w:name w:val="List Alpha 2"/>
    <w:basedOn w:val="List2"/>
    <w:rsid w:val="00E778AD"/>
    <w:pPr>
      <w:numPr>
        <w:numId w:val="8"/>
      </w:numPr>
    </w:pPr>
  </w:style>
  <w:style w:type="paragraph" w:styleId="List2">
    <w:name w:val="List 2"/>
    <w:basedOn w:val="BodyText"/>
    <w:rsid w:val="00E778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8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8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8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8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8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78AD"/>
    <w:pPr>
      <w:numPr>
        <w:numId w:val="4"/>
      </w:numPr>
    </w:pPr>
  </w:style>
  <w:style w:type="paragraph" w:styleId="ListContinue2">
    <w:name w:val="List Continue 2"/>
    <w:basedOn w:val="List2"/>
    <w:rsid w:val="00E778AD"/>
    <w:pPr>
      <w:ind w:firstLine="0"/>
    </w:pPr>
  </w:style>
  <w:style w:type="paragraph" w:styleId="ListContinue3">
    <w:name w:val="List Continue 3"/>
    <w:basedOn w:val="List3"/>
    <w:rsid w:val="00E778AD"/>
    <w:pPr>
      <w:ind w:left="1021" w:firstLine="0"/>
    </w:pPr>
  </w:style>
  <w:style w:type="paragraph" w:styleId="ListContinue4">
    <w:name w:val="List Continue 4"/>
    <w:basedOn w:val="List4"/>
    <w:rsid w:val="00E778AD"/>
    <w:pPr>
      <w:ind w:firstLine="0"/>
    </w:pPr>
  </w:style>
  <w:style w:type="paragraph" w:styleId="ListContinue5">
    <w:name w:val="List Continue 5"/>
    <w:basedOn w:val="List5"/>
    <w:rsid w:val="00E778AD"/>
    <w:pPr>
      <w:ind w:firstLine="0"/>
    </w:pPr>
  </w:style>
  <w:style w:type="paragraph" w:styleId="ListNumber3">
    <w:name w:val="List Number 3"/>
    <w:basedOn w:val="List3"/>
    <w:rsid w:val="00E778AD"/>
    <w:pPr>
      <w:numPr>
        <w:numId w:val="5"/>
      </w:numPr>
    </w:pPr>
  </w:style>
  <w:style w:type="paragraph" w:styleId="ListNumber4">
    <w:name w:val="List Number 4"/>
    <w:basedOn w:val="List4"/>
    <w:rsid w:val="00E778AD"/>
    <w:pPr>
      <w:numPr>
        <w:numId w:val="6"/>
      </w:numPr>
    </w:pPr>
  </w:style>
  <w:style w:type="paragraph" w:styleId="ListNumber5">
    <w:name w:val="List Number 5"/>
    <w:basedOn w:val="List5"/>
    <w:rsid w:val="00E778AD"/>
    <w:pPr>
      <w:numPr>
        <w:numId w:val="7"/>
      </w:numPr>
    </w:pPr>
  </w:style>
  <w:style w:type="paragraph" w:styleId="BlockText">
    <w:name w:val="Block Text"/>
    <w:basedOn w:val="Normal"/>
    <w:rsid w:val="00E778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8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8AD"/>
    <w:rPr>
      <w:sz w:val="16"/>
      <w:vertAlign w:val="superscript"/>
    </w:rPr>
  </w:style>
  <w:style w:type="character" w:customStyle="1" w:styleId="Symbols">
    <w:name w:val="Symbols"/>
    <w:basedOn w:val="DefaultParagraphFont"/>
    <w:rsid w:val="00E778AD"/>
    <w:rPr>
      <w:rFonts w:ascii="Symbol" w:hAnsi="Symbol"/>
    </w:rPr>
  </w:style>
  <w:style w:type="character" w:customStyle="1" w:styleId="MenuOptions">
    <w:name w:val="Menu Options"/>
    <w:basedOn w:val="DefaultParagraphFont"/>
    <w:rsid w:val="00E778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8AD"/>
    <w:rPr>
      <w:b/>
    </w:rPr>
  </w:style>
  <w:style w:type="character" w:customStyle="1" w:styleId="Underlined">
    <w:name w:val="Underlined"/>
    <w:basedOn w:val="DefaultParagraphFont"/>
    <w:rsid w:val="00E778AD"/>
    <w:rPr>
      <w:u w:val="single"/>
    </w:rPr>
  </w:style>
  <w:style w:type="paragraph" w:customStyle="1" w:styleId="TableBodyTextRight">
    <w:name w:val="Table Body Text Right"/>
    <w:basedOn w:val="TableBodyText"/>
    <w:rsid w:val="00E778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8AD"/>
    <w:rPr>
      <w:sz w:val="18"/>
    </w:rPr>
  </w:style>
  <w:style w:type="paragraph" w:customStyle="1" w:styleId="BodySmallRight">
    <w:name w:val="Body Small Right"/>
    <w:basedOn w:val="BodyTextRight"/>
    <w:rsid w:val="00E778AD"/>
    <w:rPr>
      <w:sz w:val="18"/>
      <w:szCs w:val="18"/>
    </w:rPr>
  </w:style>
  <w:style w:type="paragraph" w:customStyle="1" w:styleId="MarginEdition">
    <w:name w:val="Margin Edition"/>
    <w:basedOn w:val="MarginNote"/>
    <w:rsid w:val="00E778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8AD"/>
    <w:rPr>
      <w:sz w:val="2"/>
      <w:szCs w:val="2"/>
    </w:rPr>
  </w:style>
  <w:style w:type="character" w:customStyle="1" w:styleId="Small">
    <w:name w:val="Small"/>
    <w:basedOn w:val="DefaultParagraphFont"/>
    <w:rsid w:val="00E778AD"/>
    <w:rPr>
      <w:sz w:val="16"/>
    </w:rPr>
  </w:style>
  <w:style w:type="paragraph" w:customStyle="1" w:styleId="WideTable">
    <w:name w:val="Wide Table"/>
    <w:basedOn w:val="Normal"/>
    <w:rsid w:val="00E778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8AD"/>
  </w:style>
  <w:style w:type="paragraph" w:styleId="Quote">
    <w:name w:val="Quote"/>
    <w:basedOn w:val="Heading1"/>
    <w:link w:val="QuoteChar"/>
    <w:qFormat/>
    <w:rsid w:val="00E778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8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8AD"/>
    <w:pPr>
      <w:pageBreakBefore/>
    </w:pPr>
  </w:style>
  <w:style w:type="paragraph" w:customStyle="1" w:styleId="Border">
    <w:name w:val="Border"/>
    <w:basedOn w:val="Normal"/>
    <w:qFormat/>
    <w:rsid w:val="00E778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8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8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8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8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8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8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8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8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8AD"/>
    <w:rPr>
      <w:u w:val="single"/>
    </w:rPr>
  </w:style>
  <w:style w:type="character" w:customStyle="1" w:styleId="BoldandItalics">
    <w:name w:val="Bold and Italics"/>
    <w:qFormat/>
    <w:rsid w:val="00E778AD"/>
    <w:rPr>
      <w:b/>
      <w:i/>
      <w:u w:val="none"/>
    </w:rPr>
  </w:style>
  <w:style w:type="paragraph" w:styleId="BalloonText">
    <w:name w:val="Balloon Text"/>
    <w:basedOn w:val="Normal"/>
    <w:link w:val="BalloonTextChar"/>
    <w:rsid w:val="00E77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8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8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8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8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8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8AD"/>
    <w:pPr>
      <w:spacing w:before="0" w:after="0"/>
    </w:pPr>
  </w:style>
  <w:style w:type="paragraph" w:customStyle="1" w:styleId="BodyTextBold">
    <w:name w:val="Body Text Bold"/>
    <w:basedOn w:val="BodyText"/>
    <w:qFormat/>
    <w:rsid w:val="00E778AD"/>
    <w:rPr>
      <w:b/>
    </w:rPr>
  </w:style>
  <w:style w:type="character" w:styleId="Hyperlink">
    <w:name w:val="Hyperlink"/>
    <w:basedOn w:val="DefaultParagraphFont"/>
    <w:uiPriority w:val="99"/>
    <w:unhideWhenUsed/>
    <w:rsid w:val="00C343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4350</Characters>
  <Application>Microsoft Office Word</Application>
  <DocSecurity>0</DocSecurity>
  <Lines>145</Lines>
  <Paragraphs>82</Paragraphs>
  <ScaleCrop>false</ScaleCrop>
  <Company>Author-it Software Corporation Ltd.</Company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MSFSS3004 Install non-security and security screens and grilles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2022-12-21T05:52:00Z</dcterms:created>
  <dcterms:modified xsi:type="dcterms:W3CDTF">2022-12-21T05:52:00Z</dcterms:modified>
</cp:coreProperties>
</file>