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52C" w:rsidP="009F652C">
      <w:pPr>
        <w:pStyle w:val="Title"/>
      </w:pPr>
      <w:r>
        <w:fldChar w:fldCharType="begin"/>
      </w:r>
      <w:r>
        <w:instrText xml:space="preserve"> TITLE   \* MERGEFORMAT </w:instrText>
      </w:r>
      <w:r>
        <w:fldChar w:fldCharType="separate"/>
      </w:r>
      <w:r>
        <w:t>MSFSS3003 Resolve quality and compliance issues</w:t>
      </w:r>
      <w:r>
        <w:fldChar w:fldCharType="end"/>
      </w:r>
    </w:p>
    <w:p w:rsidR="009F652C" w:rsidP="009F652C">
      <w:pPr>
        <w:pStyle w:val="Version"/>
        <w:sectPr w:rsidSect="001F03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03EF" w:rsidP="001F03EF">
      <w:pPr>
        <w:pStyle w:val="SuperHeading"/>
      </w:pPr>
      <w:r w:rsidRPr="001F03EF">
        <w:t>MSFSS3003 Resolve quality and compliance issues</w:t>
      </w:r>
    </w:p>
    <w:p w:rsidR="00000000" w:rsidRPr="001F03EF" w:rsidP="001F03EF">
      <w:pPr>
        <w:pStyle w:val="Heading1"/>
      </w:pPr>
      <w:bookmarkStart w:id="1" w:name="O_621265"/>
      <w:bookmarkEnd w:id="1"/>
      <w:r w:rsidRPr="001F03EF">
        <w:t>Modification History</w:t>
      </w:r>
    </w:p>
    <w:p w:rsidR="00000000" w:rsidRPr="001F03EF" w:rsidP="001F03EF">
      <w:pPr>
        <w:pStyle w:val="BodyText"/>
      </w:pPr>
      <w:r w:rsidRPr="001F03EF">
        <w:t>Release 1 - New unit of competency</w:t>
      </w:r>
    </w:p>
    <w:p w:rsidR="00000000" w:rsidRPr="001F03EF" w:rsidP="001F03EF">
      <w:pPr>
        <w:pStyle w:val="AllowPageBreak"/>
      </w:pPr>
    </w:p>
    <w:p w:rsidR="00000000" w:rsidRPr="001F03EF" w:rsidP="001F03EF">
      <w:pPr>
        <w:pStyle w:val="Heading1"/>
      </w:pPr>
      <w:bookmarkStart w:id="2" w:name="O_621266"/>
      <w:bookmarkEnd w:id="2"/>
      <w:r w:rsidRPr="001F03EF">
        <w:t>Application</w:t>
      </w:r>
    </w:p>
    <w:p w:rsidR="00000000" w:rsidRPr="001F03EF" w:rsidP="001F03EF">
      <w:pPr>
        <w:pStyle w:val="BodyText"/>
      </w:pPr>
      <w:r w:rsidRPr="001F03EF">
        <w:t xml:space="preserve">This unit of competency covers resolving routine quality and compliance issues in the fabrication, assembly and installation of security screens and grilles.  </w:t>
      </w:r>
    </w:p>
    <w:p w:rsidR="00000000" w:rsidRPr="001F03EF" w:rsidP="001F03EF">
      <w:pPr>
        <w:pStyle w:val="BodyText"/>
      </w:pPr>
    </w:p>
    <w:p w:rsidR="00000000" w:rsidRPr="001F03EF" w:rsidP="001F03EF">
      <w:pPr>
        <w:pStyle w:val="BodyText"/>
      </w:pPr>
      <w:r w:rsidRPr="001F03EF">
        <w:t>Li</w:t>
      </w:r>
      <w:r w:rsidRPr="001F03EF">
        <w:t>censing, legislative or certification requirements may apply to this unit and relevant state/territory and local government agencies should be consulted to determine any necessary certification or licensing for undertaking security screens and grilles work</w:t>
      </w:r>
      <w:r w:rsidRPr="001F03EF">
        <w:t xml:space="preserve">. Access to construction sites requires certification of general induction training specified by the </w:t>
      </w:r>
      <w:r w:rsidRPr="001F03EF">
        <w:rPr>
          <w:rStyle w:val="Emphasis"/>
        </w:rPr>
        <w:t>National Code of Practice for Induction for Construction Work (ASCC 2007)</w:t>
      </w:r>
      <w:r w:rsidRPr="001F03EF">
        <w:t>.</w:t>
      </w:r>
    </w:p>
    <w:p w:rsidR="00000000" w:rsidRPr="001F03EF" w:rsidP="001F03EF">
      <w:pPr>
        <w:pStyle w:val="AllowPageBreak"/>
      </w:pPr>
    </w:p>
    <w:p w:rsidR="00000000" w:rsidRPr="001F03EF" w:rsidP="001F03EF">
      <w:pPr>
        <w:pStyle w:val="Heading1"/>
      </w:pPr>
      <w:bookmarkStart w:id="3" w:name="O_621267"/>
      <w:bookmarkEnd w:id="3"/>
      <w:r w:rsidRPr="001F03EF">
        <w:t>Pre-requisite Unit</w:t>
      </w:r>
    </w:p>
    <w:p w:rsidR="00000000" w:rsidRPr="001F03EF" w:rsidP="001F03EF">
      <w:pPr>
        <w:pStyle w:val="Heading1"/>
      </w:pPr>
      <w:bookmarkStart w:id="4" w:name="O_621268"/>
      <w:bookmarkEnd w:id="4"/>
      <w:r w:rsidRPr="001F03EF">
        <w:t>Competency Field</w:t>
      </w:r>
    </w:p>
    <w:p w:rsidR="00000000" w:rsidRPr="001F03EF" w:rsidP="001F03EF">
      <w:pPr>
        <w:pStyle w:val="Heading1"/>
      </w:pPr>
      <w:bookmarkStart w:id="5" w:name="O_621269"/>
      <w:bookmarkEnd w:id="5"/>
      <w:r w:rsidRPr="001F03EF">
        <w:t>Unit Sector</w:t>
      </w:r>
    </w:p>
    <w:p w:rsidR="00000000" w:rsidRPr="001F03EF" w:rsidP="001F03EF">
      <w:pPr>
        <w:pStyle w:val="BodyText"/>
      </w:pPr>
      <w:r w:rsidRPr="001F03EF">
        <w:t>Security Screens and Grilles</w:t>
      </w:r>
    </w:p>
    <w:p w:rsidR="00000000" w:rsidRPr="001F03EF" w:rsidP="001F03EF">
      <w:pPr>
        <w:pStyle w:val="AllowPageBreak"/>
      </w:pPr>
    </w:p>
    <w:p w:rsidR="00000000" w:rsidRPr="001F03EF" w:rsidP="001F03EF">
      <w:pPr>
        <w:pStyle w:val="Heading1"/>
      </w:pPr>
      <w:bookmarkStart w:id="6" w:name="O_621270"/>
      <w:bookmarkEnd w:id="6"/>
      <w:r w:rsidRPr="001F03EF">
        <w:t>Elements and Performance Criteria</w:t>
      </w:r>
    </w:p>
    <w:tbl>
      <w:tblPr>
        <w:tblW w:w="9286" w:type="dxa"/>
        <w:tblLayout w:type="fixed"/>
        <w:tblCellMar>
          <w:left w:w="62" w:type="dxa"/>
          <w:right w:w="62" w:type="dxa"/>
        </w:tblCellMar>
        <w:tblLook w:val="0000"/>
      </w:tblPr>
      <w:tblGrid>
        <w:gridCol w:w="630"/>
        <w:gridCol w:w="2129"/>
        <w:gridCol w:w="661"/>
        <w:gridCol w:w="5866"/>
      </w:tblGrid>
      <w:tr w:rsidTr="001F03E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Performance criteria describe the performance needed to demonstrate achievement of the element.</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1</w:t>
            </w:r>
          </w:p>
        </w:tc>
        <w:tc>
          <w:tcPr>
            <w:tcW w:w="2129"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Plan and prepare for work</w:t>
            </w: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1.1</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Applicable work health and safety (WHS), legislative and organisational requirements relevant to quality or compliance issues in the manufacturing and installation of security screens and grilles are verified and complied with</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1.2</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Instructions and/or plans are read and interpreted to identify the process required to complete work tasks</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1.3</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Tools and equipment selected to carry out tasks are consistent with the requirements of the job, checked for serviceability, and any f</w:t>
            </w:r>
            <w:r w:rsidRPr="001F03EF">
              <w:t>aults are rectified or reported prior to commencement</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1.4</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Materials appropriate to the work application are identified, obtained, prepared, safely handled and located ready for use</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1.5</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Workplace environment considerations are identified and measures to reduce noise, dust and obstacles are applied</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2</w:t>
            </w:r>
          </w:p>
        </w:tc>
        <w:tc>
          <w:tcPr>
            <w:tcW w:w="2129"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Identify quality and/or compliance issues</w:t>
            </w: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2.1</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Issues to be investigated are defined and determined</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2.2</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Issues are assessed to determine w</w:t>
            </w:r>
            <w:r w:rsidRPr="001F03EF">
              <w:t>hether it is a defect in workmanship, process or material</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2.3</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Current conditions of hardware, software, user or procedure are objectively identified and documented</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2.4</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Verbal and/or written report is provided in accordance with organisation policy on the nature of the problem and probable cause</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3</w:t>
            </w:r>
          </w:p>
        </w:tc>
        <w:tc>
          <w:tcPr>
            <w:tcW w:w="2129"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Recommend solutions to resolve issues identified</w:t>
            </w: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3.1</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Hardware, software, user or procedural quality and/or compliance areas a</w:t>
            </w:r>
            <w:r w:rsidRPr="001F03EF">
              <w:t>re reported to appropriate person in the organisation</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3.2</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Potential solutions to resolve the issue are identified and ranked</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3.3</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A determination is made in accordance with organisational policy whether the issue can be resolved at current or higher l</w:t>
            </w:r>
            <w:r w:rsidRPr="001F03EF">
              <w:t>evel</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3.4</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Solution to fix the issue or refer is selected and provided to an appropriate person for decision</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3.5</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Implementation of the recommended solution is planned together with an evaluations strategy to assess the solutions’ effectiveness</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3.6</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 xml:space="preserve">Verbal and/or written report is submitted in accordance with organisational requirements recommending action to be taken and/or advising action taken and outcome </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4</w:t>
            </w:r>
          </w:p>
        </w:tc>
        <w:tc>
          <w:tcPr>
            <w:tcW w:w="2129"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Complete work and clean up</w:t>
            </w: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4.1</w:t>
            </w:r>
          </w:p>
        </w:tc>
        <w:tc>
          <w:tcPr>
            <w:tcW w:w="5866"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 xml:space="preserve">Work area is cleared and materials disposed of, re-used or </w:t>
            </w:r>
            <w:r w:rsidRPr="001F03EF">
              <w:t>recycled in accordance with organisational requirements</w:t>
            </w:r>
          </w:p>
        </w:tc>
      </w:tr>
      <w:tr w:rsidTr="001F03E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661"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4.2</w:t>
            </w:r>
          </w:p>
        </w:tc>
        <w:tc>
          <w:tcPr>
            <w:tcW w:w="5866" w:type="dxa"/>
            <w:tcBorders>
              <w:top w:val="nil"/>
              <w:left w:val="nil"/>
              <w:bottom w:val="nil"/>
              <w:right w:val="nil"/>
            </w:tcBorders>
            <w:tcMar>
              <w:top w:w="0" w:type="dxa"/>
              <w:left w:w="62" w:type="dxa"/>
              <w:bottom w:w="0" w:type="dxa"/>
              <w:right w:w="62" w:type="dxa"/>
            </w:tcMar>
          </w:tcPr>
          <w:p w:rsidR="00000000" w:rsidRPr="001F03EF" w:rsidP="001F03EF">
            <w:pPr>
              <w:pStyle w:val="BodyText"/>
            </w:pPr>
            <w:r w:rsidRPr="001F03EF">
              <w:t xml:space="preserve">Tools and equipment are cleaned, checked, maintained and stored in accordance with organisational requirements </w:t>
            </w:r>
          </w:p>
        </w:tc>
      </w:tr>
    </w:tbl>
    <w:p w:rsidR="00000000" w:rsidRPr="001F03EF" w:rsidP="001F03EF">
      <w:pPr>
        <w:pStyle w:val="BodyText"/>
      </w:pPr>
    </w:p>
    <w:p w:rsidR="00000000" w:rsidRPr="001F03EF" w:rsidP="001F03EF">
      <w:pPr>
        <w:pStyle w:val="AllowPageBreak"/>
      </w:pPr>
    </w:p>
    <w:p w:rsidR="00000000" w:rsidRPr="001F03EF" w:rsidP="001F03EF">
      <w:pPr>
        <w:pStyle w:val="Heading1"/>
      </w:pPr>
      <w:bookmarkStart w:id="7" w:name="O_621271"/>
      <w:bookmarkEnd w:id="7"/>
      <w:r w:rsidRPr="001F03EF">
        <w:t>Foundation Skills</w:t>
      </w:r>
    </w:p>
    <w:p w:rsidR="00000000" w:rsidRPr="001F03EF" w:rsidP="001F03EF">
      <w:pPr>
        <w:pStyle w:val="BodyText"/>
      </w:pPr>
      <w:r w:rsidRPr="001F03EF">
        <w:t>Foundation skills essential to performance are explicit in the performance criteria of this unit of competency. Detail on appropriate performance levels for each furnishing unit of competency in reading, writing, oral communication and numeracy utilising t</w:t>
      </w:r>
      <w:r w:rsidRPr="001F03EF">
        <w:t>he Australian Core Skills Framework (ACSF) are provided in the Furnishing Training Package Implementation Guide.</w:t>
      </w:r>
    </w:p>
    <w:p w:rsidR="00000000" w:rsidRPr="001F03EF" w:rsidP="001F03EF">
      <w:pPr>
        <w:pStyle w:val="AllowPageBreak"/>
      </w:pPr>
    </w:p>
    <w:p w:rsidR="00000000" w:rsidRPr="001F03EF" w:rsidP="001F03EF">
      <w:pPr>
        <w:pStyle w:val="Heading1"/>
      </w:pPr>
      <w:bookmarkStart w:id="8" w:name="O_621272"/>
      <w:bookmarkEnd w:id="8"/>
      <w:r w:rsidRPr="001F03EF">
        <w:t>Range of Conditions</w:t>
      </w:r>
    </w:p>
    <w:tbl>
      <w:tblPr>
        <w:tblW w:w="0" w:type="auto"/>
        <w:tblLayout w:type="fixed"/>
        <w:tblCellMar>
          <w:left w:w="62" w:type="dxa"/>
          <w:right w:w="62" w:type="dxa"/>
        </w:tblCellMar>
        <w:tblLook w:val="0000"/>
      </w:tblPr>
      <w:tblGrid>
        <w:gridCol w:w="2760"/>
        <w:gridCol w:w="6312"/>
      </w:tblGrid>
      <w:tr w:rsidTr="001F03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t>Specifies different work environments and conditions that may affect performance. Essential operating cond</w:t>
            </w:r>
            <w:r w:rsidRPr="001F03EF">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F03EF">
              <w:t>to the work environment.</w:t>
            </w:r>
          </w:p>
        </w:tc>
      </w:tr>
      <w:tr w:rsidTr="001F0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F03EF" w:rsidP="001F03EF">
            <w:pPr>
              <w:pStyle w:val="ListBullet"/>
            </w:pPr>
            <w:r w:rsidRPr="001F03EF">
              <w:t xml:space="preserve">WHS requirements, including legislation, building codes, material safety management systems, hazardous and dangerous goods codes, and local safe operating procedures or equivalent </w:t>
            </w:r>
          </w:p>
          <w:p w:rsidR="00000000" w:rsidRPr="001F03EF" w:rsidP="001F03EF">
            <w:pPr>
              <w:pStyle w:val="ListBullet"/>
            </w:pPr>
            <w:r w:rsidRPr="001F03EF">
              <w:t>work is carried out in accordance with legislative obligations, environmental legislation, relevant health regulations, manual handling procedures and organisation insurance requirements</w:t>
            </w:r>
          </w:p>
          <w:p w:rsidR="00000000" w:rsidP="001F03EF">
            <w:pPr>
              <w:pStyle w:val="ListBullet"/>
              <w:rPr>
                <w:lang w:val="en-NZ"/>
              </w:rPr>
            </w:pPr>
            <w:r w:rsidRPr="001F03EF">
              <w:t>work requires individuals to demonstrate some discretion, judgement a</w:t>
            </w:r>
            <w:r w:rsidRPr="001F03EF">
              <w:t xml:space="preserve">nd problem solving </w:t>
            </w:r>
          </w:p>
        </w:tc>
      </w:tr>
      <w:tr w:rsidTr="001F0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rPr>
                <w:rStyle w:val="SpecialBold"/>
              </w:rPr>
              <w:t>Quality or compliance issues include:</w:t>
            </w:r>
          </w:p>
        </w:tc>
        <w:tc>
          <w:tcPr>
            <w:tcW w:w="6312" w:type="dxa"/>
            <w:tcBorders>
              <w:top w:val="nil"/>
              <w:left w:val="nil"/>
              <w:bottom w:val="nil"/>
              <w:right w:val="nil"/>
            </w:tcBorders>
            <w:tcMar>
              <w:top w:w="0" w:type="dxa"/>
              <w:left w:w="62" w:type="dxa"/>
              <w:bottom w:w="0" w:type="dxa"/>
              <w:right w:w="62" w:type="dxa"/>
            </w:tcMar>
          </w:tcPr>
          <w:p w:rsidR="00000000" w:rsidRPr="001F03EF" w:rsidP="001F03EF">
            <w:pPr>
              <w:pStyle w:val="ListBullet"/>
            </w:pPr>
            <w:r w:rsidRPr="001F03EF">
              <w:t>hardware</w:t>
            </w:r>
          </w:p>
          <w:p w:rsidR="00000000" w:rsidRPr="001F03EF" w:rsidP="001F03EF">
            <w:pPr>
              <w:pStyle w:val="ListBullet"/>
            </w:pPr>
            <w:r w:rsidRPr="001F03EF">
              <w:t xml:space="preserve">software </w:t>
            </w:r>
          </w:p>
          <w:p w:rsidR="00000000" w:rsidRPr="001F03EF" w:rsidP="001F03EF">
            <w:pPr>
              <w:pStyle w:val="ListBullet"/>
            </w:pPr>
            <w:r w:rsidRPr="001F03EF">
              <w:t>user and/or procedural quality or compliance issues that increase:</w:t>
            </w:r>
          </w:p>
          <w:p w:rsidR="00000000" w:rsidRPr="001F03EF" w:rsidP="001F03EF">
            <w:pPr>
              <w:pStyle w:val="ListBullet2"/>
            </w:pPr>
            <w:r w:rsidRPr="001F03EF">
              <w:t xml:space="preserve">wastage </w:t>
            </w:r>
          </w:p>
          <w:p w:rsidR="00000000" w:rsidRPr="001F03EF" w:rsidP="001F03EF">
            <w:pPr>
              <w:pStyle w:val="ListBullet2"/>
            </w:pPr>
            <w:r w:rsidRPr="001F03EF">
              <w:t>re-work and/or increase production/installation time</w:t>
            </w:r>
          </w:p>
          <w:p w:rsidR="00000000" w:rsidP="001F03EF">
            <w:pPr>
              <w:pStyle w:val="ListBullet"/>
              <w:rPr>
                <w:lang w:val="en-NZ"/>
              </w:rPr>
            </w:pPr>
            <w:r w:rsidRPr="001F03EF">
              <w:t>defective or inappropriate materials and/or equipment</w:t>
            </w:r>
          </w:p>
        </w:tc>
      </w:tr>
      <w:tr w:rsidTr="001F0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F03EF">
            <w:pPr>
              <w:pStyle w:val="ListBullet"/>
              <w:rPr>
                <w:lang w:val="en-NZ"/>
              </w:rPr>
            </w:pPr>
            <w:r w:rsidRPr="001F03EF">
              <w:t>that prescribed under legislation, regulation and enterprise policies and practices</w:t>
            </w:r>
          </w:p>
        </w:tc>
      </w:tr>
      <w:tr w:rsidTr="001F03E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F03EF">
            <w:pPr>
              <w:pStyle w:val="BodyText"/>
              <w:rPr>
                <w:lang w:val="en-NZ"/>
              </w:rPr>
            </w:pPr>
            <w:r w:rsidRPr="001F03E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F03EF" w:rsidP="001F03EF">
            <w:pPr>
              <w:pStyle w:val="ListBullet"/>
            </w:pPr>
            <w:r w:rsidRPr="001F03EF">
              <w:t>workplace procedures relating to the u</w:t>
            </w:r>
            <w:r w:rsidRPr="001F03EF">
              <w:t xml:space="preserve">se of tools and equipment and personal protective equipment </w:t>
            </w:r>
          </w:p>
          <w:p w:rsidR="00000000" w:rsidRPr="001F03EF" w:rsidP="001F03EF">
            <w:pPr>
              <w:pStyle w:val="ListBullet"/>
            </w:pPr>
            <w:r w:rsidRPr="001F03EF">
              <w:t xml:space="preserve">work instructions, including job sheets, cutting lists, plans, drawings and designs </w:t>
            </w:r>
          </w:p>
          <w:p w:rsidR="00000000" w:rsidRPr="001F03EF" w:rsidP="001F03EF">
            <w:pPr>
              <w:pStyle w:val="ListBullet"/>
            </w:pPr>
            <w:r w:rsidRPr="001F03EF">
              <w:t xml:space="preserve">workplace procedures relating to reporting and communication </w:t>
            </w:r>
          </w:p>
          <w:p w:rsidR="00000000" w:rsidRPr="001F03EF" w:rsidP="001F03EF">
            <w:pPr>
              <w:pStyle w:val="ListBullet"/>
            </w:pPr>
            <w:r w:rsidRPr="001F03EF">
              <w:t>manufacturer specifications and operational procedures</w:t>
            </w:r>
          </w:p>
        </w:tc>
      </w:tr>
    </w:tbl>
    <w:p w:rsidR="00000000" w:rsidRPr="001F03EF" w:rsidP="001F03EF">
      <w:pPr>
        <w:pStyle w:val="BodyText"/>
      </w:pPr>
    </w:p>
    <w:p w:rsidR="00000000" w:rsidRPr="001F03EF" w:rsidP="001F03EF">
      <w:pPr>
        <w:pStyle w:val="AllowPageBreak"/>
      </w:pPr>
    </w:p>
    <w:p w:rsidR="00000000" w:rsidRPr="001F03EF" w:rsidP="001F03EF">
      <w:pPr>
        <w:pStyle w:val="Heading1"/>
      </w:pPr>
      <w:bookmarkStart w:id="9" w:name="O_621273"/>
      <w:bookmarkEnd w:id="9"/>
      <w:r w:rsidRPr="001F03EF">
        <w:t>Unit Mapping Information</w:t>
      </w:r>
    </w:p>
    <w:p w:rsidR="00000000" w:rsidRPr="001F03EF" w:rsidP="001F03EF">
      <w:pPr>
        <w:pStyle w:val="BodyText"/>
      </w:pPr>
      <w:r w:rsidRPr="001F03EF">
        <w:t>Supersedes and is equivalent to LMFSS3003A Resolve quality and compliance issues.</w:t>
      </w:r>
    </w:p>
    <w:p w:rsidR="00000000" w:rsidRPr="001F03EF" w:rsidP="001F03EF">
      <w:pPr>
        <w:pStyle w:val="AllowPageBreak"/>
      </w:pPr>
    </w:p>
    <w:p w:rsidR="00000000" w:rsidRPr="001F03EF" w:rsidP="001F03EF">
      <w:pPr>
        <w:pStyle w:val="Heading1"/>
      </w:pPr>
      <w:bookmarkStart w:id="10" w:name="O_621280"/>
      <w:bookmarkEnd w:id="10"/>
      <w:r w:rsidRPr="001F03EF">
        <w:t>Links</w:t>
      </w:r>
    </w:p>
    <w:p w:rsidR="00000000" w:rsidRPr="001F03EF" w:rsidP="001F03EF">
      <w:pPr>
        <w:pStyle w:val="BodyText"/>
      </w:pPr>
      <w:r w:rsidRPr="001F03EF">
        <w:t xml:space="preserve">Companion Volume implementation guides are found in </w:t>
      </w:r>
      <w:r w:rsidRPr="001F03EF">
        <w:t>VETNet - https://vetnet.education.gov.au/Pages/TrainingDocs.aspx?q=0601ab95-583a-4e93-b2d4-cfb27b03ed73</w:t>
      </w:r>
    </w:p>
    <w:p w:rsidR="00000000" w:rsidRPr="001F03EF" w:rsidP="001F03EF"/>
    <w:sectPr w:rsidSect="001F03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EF" w:rsidRPr="009F652C" w:rsidP="009F65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52C" w:rsidP="001F0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F652C" w:rsidP="001F03E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652C" w:rsidP="001F0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5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03EF" w:rsidRPr="009F652C" w:rsidP="009F65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52C" w:rsidRPr="002D2AF8" w:rsidP="001F03EF">
    <w:pPr>
      <w:pStyle w:val="Header"/>
      <w:framePr w:wrap="around"/>
    </w:pPr>
    <w:r>
      <w:fldChar w:fldCharType="begin"/>
    </w:r>
    <w:r>
      <w:instrText xml:space="preserve"> TITLE   \* MERGEFORMAT </w:instrText>
    </w:r>
    <w:r>
      <w:fldChar w:fldCharType="separate"/>
    </w:r>
    <w:r>
      <w:t>MSFSS3003 Resolve quality and compliance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December 2018</w:t>
    </w:r>
    <w:r>
      <w:fldChar w:fldCharType="end"/>
    </w:r>
  </w:p>
  <w:p w:rsidR="009F652C" w:rsidP="001F0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326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38DE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44B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03EF"/>
    <w:pPr>
      <w:spacing w:before="360" w:after="60"/>
      <w:outlineLvl w:val="0"/>
    </w:pPr>
    <w:rPr>
      <w:sz w:val="32"/>
    </w:rPr>
  </w:style>
  <w:style w:type="paragraph" w:styleId="Heading2">
    <w:name w:val="heading 2"/>
    <w:basedOn w:val="HeadingBase"/>
    <w:next w:val="BodyText"/>
    <w:link w:val="Heading2Char"/>
    <w:qFormat/>
    <w:rsid w:val="001F03EF"/>
    <w:pPr>
      <w:keepLines/>
      <w:spacing w:before="240" w:after="120"/>
      <w:outlineLvl w:val="1"/>
    </w:pPr>
    <w:rPr>
      <w:sz w:val="28"/>
      <w:szCs w:val="40"/>
    </w:rPr>
  </w:style>
  <w:style w:type="paragraph" w:styleId="Heading3">
    <w:name w:val="heading 3"/>
    <w:basedOn w:val="HeadingBase"/>
    <w:next w:val="BodyText"/>
    <w:link w:val="Heading3Char"/>
    <w:qFormat/>
    <w:rsid w:val="001F03EF"/>
    <w:pPr>
      <w:spacing w:before="180" w:after="120"/>
      <w:outlineLvl w:val="2"/>
    </w:pPr>
    <w:rPr>
      <w:spacing w:val="-10"/>
      <w:kern w:val="32"/>
    </w:rPr>
  </w:style>
  <w:style w:type="paragraph" w:styleId="Heading4">
    <w:name w:val="heading 4"/>
    <w:basedOn w:val="HeadingBase"/>
    <w:next w:val="BodyText"/>
    <w:link w:val="Heading4Char"/>
    <w:qFormat/>
    <w:rsid w:val="001F03EF"/>
    <w:pPr>
      <w:spacing w:before="160" w:after="120"/>
      <w:outlineLvl w:val="3"/>
    </w:pPr>
    <w:rPr>
      <w:sz w:val="22"/>
    </w:rPr>
  </w:style>
  <w:style w:type="paragraph" w:styleId="Heading5">
    <w:name w:val="heading 5"/>
    <w:basedOn w:val="HeadingBase"/>
    <w:next w:val="Normal"/>
    <w:link w:val="Heading5Char"/>
    <w:qFormat/>
    <w:rsid w:val="001F03EF"/>
    <w:pPr>
      <w:spacing w:before="80"/>
      <w:outlineLvl w:val="4"/>
    </w:pPr>
    <w:rPr>
      <w:color w:val="918585"/>
      <w:sz w:val="20"/>
    </w:rPr>
  </w:style>
  <w:style w:type="paragraph" w:styleId="Heading6">
    <w:name w:val="heading 6"/>
    <w:basedOn w:val="HeadingBase"/>
    <w:next w:val="Normal"/>
    <w:link w:val="Heading6Char"/>
    <w:qFormat/>
    <w:rsid w:val="001F03EF"/>
    <w:pPr>
      <w:spacing w:before="60"/>
      <w:outlineLvl w:val="5"/>
    </w:pPr>
    <w:rPr>
      <w:color w:val="918585"/>
      <w:sz w:val="20"/>
    </w:rPr>
  </w:style>
  <w:style w:type="paragraph" w:styleId="Heading7">
    <w:name w:val="heading 7"/>
    <w:basedOn w:val="Normal"/>
    <w:next w:val="Normal"/>
    <w:link w:val="Heading7Char"/>
    <w:qFormat/>
    <w:rsid w:val="001F03EF"/>
    <w:pPr>
      <w:ind w:left="720"/>
      <w:outlineLvl w:val="6"/>
    </w:pPr>
    <w:rPr>
      <w:i/>
    </w:rPr>
  </w:style>
  <w:style w:type="paragraph" w:styleId="Heading8">
    <w:name w:val="heading 8"/>
    <w:basedOn w:val="Normal"/>
    <w:next w:val="Normal"/>
    <w:link w:val="Heading8Char"/>
    <w:qFormat/>
    <w:rsid w:val="001F03EF"/>
    <w:pPr>
      <w:ind w:left="720"/>
      <w:outlineLvl w:val="7"/>
    </w:pPr>
    <w:rPr>
      <w:i/>
    </w:rPr>
  </w:style>
  <w:style w:type="paragraph" w:styleId="Heading9">
    <w:name w:val="heading 9"/>
    <w:basedOn w:val="Normal"/>
    <w:next w:val="Normal"/>
    <w:link w:val="Heading9Char"/>
    <w:qFormat/>
    <w:rsid w:val="001F03EF"/>
    <w:pPr>
      <w:ind w:left="720"/>
      <w:outlineLvl w:val="8"/>
    </w:pPr>
    <w:rPr>
      <w:i/>
    </w:rPr>
  </w:style>
  <w:style w:type="character" w:default="1" w:styleId="DefaultParagraphFont">
    <w:name w:val="Default Paragraph Font"/>
    <w:uiPriority w:val="1"/>
    <w:unhideWhenUsed/>
    <w:rsid w:val="001F0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03EF"/>
  </w:style>
  <w:style w:type="character" w:customStyle="1" w:styleId="Heading1Char">
    <w:name w:val="Heading 1 Char"/>
    <w:basedOn w:val="DefaultParagraphFont"/>
    <w:link w:val="Heading1"/>
    <w:rsid w:val="001F03EF"/>
    <w:rPr>
      <w:rFonts w:ascii="Times New Roman" w:eastAsia="Times New Roman" w:hAnsi="Times New Roman" w:cs="Times New Roman"/>
      <w:b/>
      <w:sz w:val="32"/>
      <w:szCs w:val="20"/>
      <w:lang w:eastAsia="en-US"/>
    </w:rPr>
  </w:style>
  <w:style w:type="paragraph" w:styleId="BodyText">
    <w:name w:val="Body Text"/>
    <w:basedOn w:val="Normal"/>
    <w:link w:val="BodyTextChar"/>
    <w:rsid w:val="001F0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03EF"/>
    <w:rPr>
      <w:rFonts w:ascii="Times New Roman" w:eastAsia="Times New Roman" w:hAnsi="Times New Roman" w:cs="Times New Roman"/>
      <w:sz w:val="24"/>
      <w:lang w:eastAsia="en-US"/>
    </w:rPr>
  </w:style>
  <w:style w:type="paragraph" w:styleId="ListBullet">
    <w:name w:val="List Bullet"/>
    <w:basedOn w:val="List"/>
    <w:rsid w:val="001F03EF"/>
    <w:pPr>
      <w:numPr>
        <w:numId w:val="13"/>
      </w:numPr>
      <w:tabs>
        <w:tab w:val="clear" w:pos="340"/>
      </w:tabs>
      <w:spacing w:before="40" w:after="40"/>
    </w:pPr>
  </w:style>
  <w:style w:type="character" w:customStyle="1" w:styleId="SpecialBold">
    <w:name w:val="Special Bold"/>
    <w:basedOn w:val="DefaultParagraphFont"/>
    <w:rsid w:val="001F03EF"/>
    <w:rPr>
      <w:b/>
      <w:spacing w:val="0"/>
    </w:rPr>
  </w:style>
  <w:style w:type="paragraph" w:styleId="ListBullet2">
    <w:name w:val="List Bullet 2"/>
    <w:basedOn w:val="List2"/>
    <w:rsid w:val="001F03EF"/>
    <w:pPr>
      <w:numPr>
        <w:numId w:val="14"/>
      </w:numPr>
      <w:tabs>
        <w:tab w:val="clear" w:pos="680"/>
      </w:tabs>
    </w:pPr>
  </w:style>
  <w:style w:type="character" w:styleId="Emphasis">
    <w:name w:val="Emphasis"/>
    <w:basedOn w:val="DefaultParagraphFont"/>
    <w:qFormat/>
    <w:rsid w:val="001F03EF"/>
    <w:rPr>
      <w:i/>
    </w:rPr>
  </w:style>
  <w:style w:type="paragraph" w:customStyle="1" w:styleId="SuperHeading">
    <w:name w:val="SuperHeading"/>
    <w:basedOn w:val="Normal"/>
    <w:rsid w:val="001F03EF"/>
    <w:pPr>
      <w:spacing w:before="240" w:after="120"/>
      <w:outlineLvl w:val="0"/>
    </w:pPr>
    <w:rPr>
      <w:rFonts w:ascii="Times New Roman" w:hAnsi="Times New Roman"/>
      <w:b/>
      <w:sz w:val="32"/>
    </w:rPr>
  </w:style>
  <w:style w:type="paragraph" w:customStyle="1" w:styleId="AllowPageBreak">
    <w:name w:val="AllowPageBreak"/>
    <w:rsid w:val="001F03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0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0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0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0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0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0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0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03EF"/>
    <w:rPr>
      <w:rFonts w:ascii="Courier New" w:eastAsia="Times New Roman" w:hAnsi="Courier New" w:cs="Times New Roman"/>
      <w:i/>
      <w:szCs w:val="20"/>
      <w:lang w:eastAsia="en-US"/>
    </w:rPr>
  </w:style>
  <w:style w:type="paragraph" w:customStyle="1" w:styleId="HeadingBase">
    <w:name w:val="Heading Base"/>
    <w:rsid w:val="001F0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03EF"/>
    <w:pPr>
      <w:tabs>
        <w:tab w:val="right" w:leader="dot" w:pos="9072"/>
      </w:tabs>
      <w:ind w:left="567"/>
    </w:pPr>
    <w:rPr>
      <w:szCs w:val="22"/>
    </w:rPr>
  </w:style>
  <w:style w:type="paragraph" w:customStyle="1" w:styleId="TOCBase">
    <w:name w:val="TOC Base"/>
    <w:rsid w:val="001F0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03EF"/>
    <w:pPr>
      <w:tabs>
        <w:tab w:val="right" w:leader="dot" w:pos="9072"/>
      </w:tabs>
      <w:spacing w:before="40" w:after="40"/>
      <w:ind w:left="284"/>
    </w:pPr>
    <w:rPr>
      <w:rFonts w:ascii="Times New Roman" w:hAnsi="Times New Roman"/>
    </w:rPr>
  </w:style>
  <w:style w:type="paragraph" w:styleId="TOC1">
    <w:name w:val="toc 1"/>
    <w:basedOn w:val="TOCBase"/>
    <w:next w:val="Normal"/>
    <w:rsid w:val="001F0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0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03EF"/>
    <w:rPr>
      <w:rFonts w:ascii="Times New Roman" w:eastAsia="Times New Roman" w:hAnsi="Times New Roman" w:cs="Times New Roman"/>
      <w:sz w:val="16"/>
      <w:lang w:eastAsia="en-US"/>
    </w:rPr>
  </w:style>
  <w:style w:type="paragraph" w:styleId="Title">
    <w:name w:val="Title"/>
    <w:basedOn w:val="HeadingBase"/>
    <w:link w:val="TitleChar"/>
    <w:qFormat/>
    <w:rsid w:val="001F03EF"/>
    <w:pPr>
      <w:spacing w:before="5040"/>
      <w:jc w:val="center"/>
    </w:pPr>
    <w:rPr>
      <w:sz w:val="48"/>
      <w:szCs w:val="72"/>
      <w:lang w:val="en-US"/>
    </w:rPr>
  </w:style>
  <w:style w:type="character" w:customStyle="1" w:styleId="TitleChar">
    <w:name w:val="Title Char"/>
    <w:basedOn w:val="DefaultParagraphFont"/>
    <w:link w:val="Title"/>
    <w:rsid w:val="001F0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03EF"/>
    <w:pPr>
      <w:tabs>
        <w:tab w:val="left" w:pos="3600"/>
        <w:tab w:val="left" w:pos="3958"/>
      </w:tabs>
    </w:pPr>
  </w:style>
  <w:style w:type="paragraph" w:styleId="List">
    <w:name w:val="List"/>
    <w:basedOn w:val="BodyText"/>
    <w:next w:val="BodyText"/>
    <w:rsid w:val="001F03EF"/>
    <w:pPr>
      <w:tabs>
        <w:tab w:val="left" w:pos="340"/>
      </w:tabs>
      <w:spacing w:before="60" w:after="60"/>
      <w:ind w:left="340" w:hanging="340"/>
    </w:pPr>
  </w:style>
  <w:style w:type="paragraph" w:customStyle="1" w:styleId="Note">
    <w:name w:val="Note"/>
    <w:basedOn w:val="BodyText"/>
    <w:rsid w:val="001F0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03EF"/>
    <w:pPr>
      <w:framePr w:wrap="auto" w:hAnchor="text" w:y="6049"/>
    </w:pPr>
    <w:rPr>
      <w:color w:val="000000"/>
      <w:sz w:val="40"/>
    </w:rPr>
  </w:style>
  <w:style w:type="paragraph" w:customStyle="1" w:styleId="TOCTitle">
    <w:name w:val="TOCTitle"/>
    <w:basedOn w:val="Heading1"/>
    <w:rsid w:val="001F03EF"/>
    <w:pPr>
      <w:spacing w:after="240"/>
      <w:jc w:val="center"/>
      <w:outlineLvl w:val="9"/>
    </w:pPr>
    <w:rPr>
      <w:caps/>
    </w:rPr>
  </w:style>
  <w:style w:type="paragraph" w:customStyle="1" w:styleId="Version">
    <w:name w:val="Version"/>
    <w:rsid w:val="001F0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03EF"/>
    <w:pPr>
      <w:keepNext w:val="0"/>
      <w:tabs>
        <w:tab w:val="right" w:pos="4176"/>
      </w:tabs>
      <w:ind w:left="198" w:hanging="198"/>
    </w:pPr>
    <w:rPr>
      <w:rFonts w:ascii="Garamond" w:hAnsi="Garamond"/>
    </w:rPr>
  </w:style>
  <w:style w:type="paragraph" w:styleId="IndexHeading">
    <w:name w:val="index heading"/>
    <w:basedOn w:val="Normal"/>
    <w:next w:val="Index1"/>
    <w:semiHidden/>
    <w:rsid w:val="001F03EF"/>
    <w:pPr>
      <w:spacing w:before="120" w:after="120"/>
    </w:pPr>
    <w:rPr>
      <w:rFonts w:ascii="Arial" w:hAnsi="Arial"/>
      <w:b/>
      <w:color w:val="918585"/>
      <w:sz w:val="24"/>
    </w:rPr>
  </w:style>
  <w:style w:type="paragraph" w:styleId="Header">
    <w:name w:val="header"/>
    <w:basedOn w:val="Normal"/>
    <w:link w:val="HeaderChar"/>
    <w:rsid w:val="001F0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03EF"/>
    <w:rPr>
      <w:rFonts w:ascii="Times New Roman" w:eastAsia="Times New Roman" w:hAnsi="Times New Roman" w:cs="Times New Roman"/>
      <w:sz w:val="16"/>
      <w:szCs w:val="20"/>
      <w:lang w:val="en-GB" w:eastAsia="en-US"/>
    </w:rPr>
  </w:style>
  <w:style w:type="paragraph" w:customStyle="1" w:styleId="Chapter">
    <w:name w:val="Chapter"/>
    <w:basedOn w:val="Normal"/>
    <w:rsid w:val="001F03EF"/>
    <w:pPr>
      <w:spacing w:before="240"/>
    </w:pPr>
    <w:rPr>
      <w:rFonts w:ascii="Times New Roman" w:hAnsi="Times New Roman"/>
      <w:smallCaps/>
      <w:spacing w:val="80"/>
      <w:sz w:val="28"/>
    </w:rPr>
  </w:style>
  <w:style w:type="paragraph" w:customStyle="1" w:styleId="InChapter">
    <w:name w:val="InChapter"/>
    <w:basedOn w:val="Heading3"/>
    <w:rsid w:val="001F03EF"/>
    <w:pPr>
      <w:spacing w:after="240"/>
      <w:outlineLvl w:val="9"/>
    </w:pPr>
    <w:rPr>
      <w:noProof/>
    </w:rPr>
  </w:style>
  <w:style w:type="paragraph" w:styleId="Index2">
    <w:name w:val="index 2"/>
    <w:basedOn w:val="Normal"/>
    <w:next w:val="Normal"/>
    <w:semiHidden/>
    <w:rsid w:val="001F03EF"/>
    <w:pPr>
      <w:tabs>
        <w:tab w:val="right" w:pos="4176"/>
      </w:tabs>
      <w:ind w:left="568" w:hanging="284"/>
    </w:pPr>
    <w:rPr>
      <w:rFonts w:ascii="Garamond" w:hAnsi="Garamond"/>
    </w:rPr>
  </w:style>
  <w:style w:type="paragraph" w:customStyle="1" w:styleId="Byline">
    <w:name w:val="Byline"/>
    <w:rsid w:val="001F0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03EF"/>
    <w:pPr>
      <w:tabs>
        <w:tab w:val="clear" w:pos="3600"/>
        <w:tab w:val="clear" w:pos="3958"/>
      </w:tabs>
      <w:jc w:val="right"/>
    </w:pPr>
  </w:style>
  <w:style w:type="paragraph" w:styleId="Caption">
    <w:name w:val="caption"/>
    <w:basedOn w:val="BodyText"/>
    <w:next w:val="Normal"/>
    <w:qFormat/>
    <w:rsid w:val="001F03EF"/>
    <w:pPr>
      <w:framePr w:w="2268" w:hSpace="181" w:vSpace="181" w:wrap="around" w:vAnchor="text" w:hAnchor="page" w:x="1135" w:y="285" w:anchorLock="1"/>
    </w:pPr>
    <w:rPr>
      <w:i/>
    </w:rPr>
  </w:style>
  <w:style w:type="paragraph" w:customStyle="1" w:styleId="MiniTOCTitle">
    <w:name w:val="MiniTOCTitle"/>
    <w:basedOn w:val="Heading4"/>
    <w:rsid w:val="001F03EF"/>
    <w:pPr>
      <w:spacing w:before="240"/>
      <w:outlineLvl w:val="9"/>
    </w:pPr>
    <w:rPr>
      <w:noProof/>
      <w:sz w:val="24"/>
    </w:rPr>
  </w:style>
  <w:style w:type="paragraph" w:customStyle="1" w:styleId="MiniTOCItem">
    <w:name w:val="MiniTOCItem"/>
    <w:basedOn w:val="ListBullet"/>
    <w:rsid w:val="001F03EF"/>
    <w:pPr>
      <w:numPr>
        <w:numId w:val="0"/>
      </w:numPr>
      <w:tabs>
        <w:tab w:val="right" w:leader="dot" w:pos="6521"/>
      </w:tabs>
      <w:spacing w:before="0" w:after="0"/>
    </w:pPr>
  </w:style>
  <w:style w:type="paragraph" w:customStyle="1" w:styleId="TOFTitle">
    <w:name w:val="TOFTitle"/>
    <w:basedOn w:val="TOCTitle"/>
    <w:rsid w:val="001F03EF"/>
  </w:style>
  <w:style w:type="paragraph" w:styleId="TableofFigures">
    <w:name w:val="table of figures"/>
    <w:basedOn w:val="Normal"/>
    <w:next w:val="Normal"/>
    <w:semiHidden/>
    <w:rsid w:val="001F03EF"/>
    <w:pPr>
      <w:tabs>
        <w:tab w:val="right" w:leader="dot" w:pos="9072"/>
      </w:tabs>
      <w:ind w:left="970" w:hanging="403"/>
    </w:pPr>
    <w:rPr>
      <w:rFonts w:ascii="Times New Roman" w:hAnsi="Times New Roman"/>
      <w:b/>
    </w:rPr>
  </w:style>
  <w:style w:type="paragraph" w:styleId="ListNumber">
    <w:name w:val="List Number"/>
    <w:basedOn w:val="List"/>
    <w:rsid w:val="001F03EF"/>
    <w:pPr>
      <w:numPr>
        <w:numId w:val="11"/>
      </w:numPr>
    </w:pPr>
  </w:style>
  <w:style w:type="character" w:customStyle="1" w:styleId="WingdingSymbols">
    <w:name w:val="Wingding Symbols"/>
    <w:rsid w:val="001F03EF"/>
    <w:rPr>
      <w:rFonts w:ascii="Wingdings" w:hAnsi="Wingdings"/>
    </w:rPr>
  </w:style>
  <w:style w:type="paragraph" w:customStyle="1" w:styleId="TableHeading">
    <w:name w:val="Table Heading"/>
    <w:basedOn w:val="HeadingBase"/>
    <w:rsid w:val="001F03EF"/>
    <w:pPr>
      <w:keepLines/>
      <w:pBdr>
        <w:bottom w:val="single" w:sz="6" w:space="1" w:color="918585"/>
      </w:pBdr>
      <w:spacing w:before="240"/>
    </w:pPr>
  </w:style>
  <w:style w:type="character" w:customStyle="1" w:styleId="HotSpot">
    <w:name w:val="HotSpot"/>
    <w:rsid w:val="001F03EF"/>
    <w:rPr>
      <w:color w:val="0033CC"/>
      <w:u w:val="none"/>
    </w:rPr>
  </w:style>
  <w:style w:type="paragraph" w:customStyle="1" w:styleId="BodyTextRight">
    <w:name w:val="Body Text Right"/>
    <w:basedOn w:val="BodyText"/>
    <w:rsid w:val="001F03EF"/>
    <w:pPr>
      <w:spacing w:before="0" w:after="0"/>
      <w:jc w:val="right"/>
    </w:pPr>
  </w:style>
  <w:style w:type="paragraph" w:styleId="Index3">
    <w:name w:val="index 3"/>
    <w:basedOn w:val="ListNumber2"/>
    <w:next w:val="Normal"/>
    <w:semiHidden/>
    <w:rsid w:val="001F03EF"/>
    <w:pPr>
      <w:numPr>
        <w:numId w:val="0"/>
      </w:numPr>
      <w:tabs>
        <w:tab w:val="right" w:leader="dot" w:pos="4176"/>
      </w:tabs>
    </w:pPr>
  </w:style>
  <w:style w:type="paragraph" w:styleId="ListNumber2">
    <w:name w:val="List Number 2"/>
    <w:basedOn w:val="List2"/>
    <w:rsid w:val="001F03EF"/>
    <w:pPr>
      <w:numPr>
        <w:numId w:val="10"/>
      </w:numPr>
      <w:tabs>
        <w:tab w:val="clear" w:pos="1060"/>
      </w:tabs>
    </w:pPr>
  </w:style>
  <w:style w:type="paragraph" w:customStyle="1" w:styleId="MarginNote">
    <w:name w:val="Margin Note"/>
    <w:basedOn w:val="BodyText"/>
    <w:rsid w:val="001F0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0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0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03EF"/>
    <w:rPr>
      <w:sz w:val="32"/>
    </w:rPr>
  </w:style>
  <w:style w:type="paragraph" w:customStyle="1" w:styleId="HeadingProcedure">
    <w:name w:val="Heading Procedure"/>
    <w:basedOn w:val="HeadingBase"/>
    <w:next w:val="Normal"/>
    <w:rsid w:val="001F03EF"/>
    <w:pPr>
      <w:tabs>
        <w:tab w:val="left" w:pos="0"/>
      </w:tabs>
      <w:spacing w:before="120" w:after="60"/>
    </w:pPr>
    <w:rPr>
      <w:i/>
      <w:color w:val="918585"/>
      <w:sz w:val="22"/>
    </w:rPr>
  </w:style>
  <w:style w:type="paragraph" w:customStyle="1" w:styleId="TableBodyText">
    <w:name w:val="Table Body Text"/>
    <w:basedOn w:val="BodyText"/>
    <w:rsid w:val="001F03EF"/>
    <w:pPr>
      <w:spacing w:before="60" w:after="60"/>
    </w:pPr>
  </w:style>
  <w:style w:type="paragraph" w:styleId="ListContinue">
    <w:name w:val="List Continue"/>
    <w:basedOn w:val="List"/>
    <w:rsid w:val="001F03EF"/>
    <w:pPr>
      <w:ind w:firstLine="0"/>
    </w:pPr>
  </w:style>
  <w:style w:type="paragraph" w:customStyle="1" w:styleId="ListNote">
    <w:name w:val="List Note"/>
    <w:basedOn w:val="List"/>
    <w:rsid w:val="001F03EF"/>
    <w:pPr>
      <w:pBdr>
        <w:top w:val="single" w:sz="6" w:space="2" w:color="918585"/>
        <w:bottom w:val="single" w:sz="6" w:space="2" w:color="918585"/>
      </w:pBdr>
      <w:tabs>
        <w:tab w:val="left" w:pos="1021"/>
      </w:tabs>
      <w:ind w:firstLine="0"/>
    </w:pPr>
  </w:style>
  <w:style w:type="paragraph" w:customStyle="1" w:styleId="Warning">
    <w:name w:val="Warning"/>
    <w:basedOn w:val="BodyText"/>
    <w:rsid w:val="001F03EF"/>
    <w:pPr>
      <w:shd w:val="clear" w:color="auto" w:fill="D9D9D9"/>
      <w:tabs>
        <w:tab w:val="left" w:pos="992"/>
      </w:tabs>
      <w:ind w:left="119" w:right="119"/>
    </w:pPr>
    <w:rPr>
      <w:sz w:val="20"/>
    </w:rPr>
  </w:style>
  <w:style w:type="paragraph" w:customStyle="1" w:styleId="MarginIcons">
    <w:name w:val="Margin Icons"/>
    <w:basedOn w:val="BodyText"/>
    <w:rsid w:val="001F0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03EF"/>
    <w:rPr>
      <w:rFonts w:ascii="Courier New" w:hAnsi="Courier New"/>
    </w:rPr>
  </w:style>
  <w:style w:type="paragraph" w:customStyle="1" w:styleId="NoteBullet">
    <w:name w:val="Note Bullet"/>
    <w:basedOn w:val="Note"/>
    <w:rsid w:val="001F03EF"/>
    <w:pPr>
      <w:tabs>
        <w:tab w:val="clear" w:pos="680"/>
      </w:tabs>
      <w:spacing w:before="60" w:after="60"/>
    </w:pPr>
  </w:style>
  <w:style w:type="paragraph" w:customStyle="1" w:styleId="SubHeading2">
    <w:name w:val="SubHeading2"/>
    <w:basedOn w:val="HeadingBase"/>
    <w:rsid w:val="001F03EF"/>
    <w:pPr>
      <w:spacing w:before="240" w:after="60"/>
    </w:pPr>
    <w:rPr>
      <w:sz w:val="20"/>
    </w:rPr>
  </w:style>
  <w:style w:type="paragraph" w:customStyle="1" w:styleId="SubHeading1">
    <w:name w:val="SubHeading1"/>
    <w:basedOn w:val="HeadingBase"/>
    <w:rsid w:val="001F03EF"/>
    <w:pPr>
      <w:spacing w:before="240" w:after="60"/>
    </w:pPr>
    <w:rPr>
      <w:color w:val="918585"/>
      <w:sz w:val="22"/>
    </w:rPr>
  </w:style>
  <w:style w:type="paragraph" w:customStyle="1" w:styleId="SideHeading">
    <w:name w:val="Side Heading"/>
    <w:basedOn w:val="HeadingBase"/>
    <w:rsid w:val="001F0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03EF"/>
    <w:pPr>
      <w:numPr>
        <w:numId w:val="12"/>
      </w:numPr>
    </w:pPr>
  </w:style>
  <w:style w:type="paragraph" w:styleId="PlainText">
    <w:name w:val="Plain Text"/>
    <w:basedOn w:val="Normal"/>
    <w:link w:val="PlainTextChar"/>
    <w:rsid w:val="001F03EF"/>
    <w:rPr>
      <w:sz w:val="20"/>
    </w:rPr>
  </w:style>
  <w:style w:type="character" w:customStyle="1" w:styleId="PlainTextChar">
    <w:name w:val="Plain Text Char"/>
    <w:basedOn w:val="DefaultParagraphFont"/>
    <w:link w:val="PlainText"/>
    <w:rsid w:val="001F03EF"/>
    <w:rPr>
      <w:rFonts w:ascii="Courier New" w:eastAsia="Times New Roman" w:hAnsi="Courier New" w:cs="Times New Roman"/>
      <w:sz w:val="20"/>
      <w:szCs w:val="20"/>
      <w:lang w:eastAsia="en-US"/>
    </w:rPr>
  </w:style>
  <w:style w:type="character" w:customStyle="1" w:styleId="MenuOption">
    <w:name w:val="Menu Option"/>
    <w:basedOn w:val="DefaultParagraphFont"/>
    <w:rsid w:val="001F03EF"/>
    <w:rPr>
      <w:b/>
      <w:smallCaps/>
    </w:rPr>
  </w:style>
  <w:style w:type="paragraph" w:customStyle="1" w:styleId="TableListNumber">
    <w:name w:val="Table List Number"/>
    <w:basedOn w:val="ListNumber"/>
    <w:rsid w:val="001F03EF"/>
    <w:pPr>
      <w:numPr>
        <w:numId w:val="0"/>
      </w:numPr>
    </w:pPr>
  </w:style>
  <w:style w:type="paragraph" w:styleId="TOC4">
    <w:name w:val="toc 4"/>
    <w:basedOn w:val="TOCBase"/>
    <w:next w:val="Normal"/>
    <w:semiHidden/>
    <w:rsid w:val="001F03EF"/>
    <w:pPr>
      <w:tabs>
        <w:tab w:val="right" w:leader="dot" w:pos="9071"/>
      </w:tabs>
      <w:ind w:left="1701"/>
    </w:pPr>
  </w:style>
  <w:style w:type="paragraph" w:customStyle="1" w:styleId="ListAlpha">
    <w:name w:val="List Alpha"/>
    <w:basedOn w:val="List"/>
    <w:rsid w:val="001F03EF"/>
    <w:pPr>
      <w:numPr>
        <w:numId w:val="9"/>
      </w:numPr>
    </w:pPr>
  </w:style>
  <w:style w:type="paragraph" w:customStyle="1" w:styleId="ListAlpha2">
    <w:name w:val="List Alpha 2"/>
    <w:basedOn w:val="List2"/>
    <w:rsid w:val="001F03EF"/>
    <w:pPr>
      <w:numPr>
        <w:numId w:val="8"/>
      </w:numPr>
    </w:pPr>
  </w:style>
  <w:style w:type="paragraph" w:styleId="List2">
    <w:name w:val="List 2"/>
    <w:basedOn w:val="BodyText"/>
    <w:rsid w:val="001F03EF"/>
    <w:pPr>
      <w:tabs>
        <w:tab w:val="left" w:pos="680"/>
      </w:tabs>
      <w:spacing w:before="60" w:after="60"/>
      <w:ind w:left="680" w:hanging="340"/>
    </w:pPr>
  </w:style>
  <w:style w:type="paragraph" w:styleId="List3">
    <w:name w:val="List 3"/>
    <w:basedOn w:val="BodyText"/>
    <w:rsid w:val="001F03EF"/>
    <w:pPr>
      <w:tabs>
        <w:tab w:val="left" w:pos="1021"/>
      </w:tabs>
      <w:spacing w:before="60" w:after="60"/>
      <w:ind w:left="1020" w:hanging="340"/>
    </w:pPr>
  </w:style>
  <w:style w:type="paragraph" w:styleId="List4">
    <w:name w:val="List 4"/>
    <w:basedOn w:val="BodyText"/>
    <w:rsid w:val="001F03EF"/>
    <w:pPr>
      <w:tabs>
        <w:tab w:val="left" w:pos="1361"/>
      </w:tabs>
      <w:spacing w:before="60" w:after="60"/>
      <w:ind w:left="1361" w:hanging="340"/>
    </w:pPr>
  </w:style>
  <w:style w:type="paragraph" w:styleId="List5">
    <w:name w:val="List 5"/>
    <w:basedOn w:val="BodyText"/>
    <w:rsid w:val="001F03EF"/>
    <w:pPr>
      <w:tabs>
        <w:tab w:val="left" w:pos="1701"/>
      </w:tabs>
      <w:spacing w:before="60" w:after="60"/>
      <w:ind w:left="1701" w:hanging="340"/>
    </w:pPr>
  </w:style>
  <w:style w:type="paragraph" w:styleId="ListBullet3">
    <w:name w:val="List Bullet 3"/>
    <w:basedOn w:val="List3"/>
    <w:rsid w:val="001F03EF"/>
    <w:pPr>
      <w:numPr>
        <w:numId w:val="15"/>
      </w:numPr>
      <w:tabs>
        <w:tab w:val="clear" w:pos="1021"/>
      </w:tabs>
      <w:ind w:left="1037" w:hanging="357"/>
    </w:pPr>
  </w:style>
  <w:style w:type="paragraph" w:styleId="ListBullet4">
    <w:name w:val="List Bullet 4"/>
    <w:basedOn w:val="List4"/>
    <w:rsid w:val="001F03EF"/>
    <w:pPr>
      <w:numPr>
        <w:numId w:val="3"/>
      </w:numPr>
      <w:tabs>
        <w:tab w:val="clear" w:pos="1361"/>
      </w:tabs>
    </w:pPr>
  </w:style>
  <w:style w:type="paragraph" w:styleId="ListBullet5">
    <w:name w:val="List Bullet 5"/>
    <w:basedOn w:val="List5"/>
    <w:rsid w:val="001F03EF"/>
    <w:pPr>
      <w:numPr>
        <w:numId w:val="4"/>
      </w:numPr>
    </w:pPr>
  </w:style>
  <w:style w:type="paragraph" w:styleId="ListContinue2">
    <w:name w:val="List Continue 2"/>
    <w:basedOn w:val="List2"/>
    <w:rsid w:val="001F03EF"/>
    <w:pPr>
      <w:ind w:firstLine="0"/>
    </w:pPr>
  </w:style>
  <w:style w:type="paragraph" w:styleId="ListContinue3">
    <w:name w:val="List Continue 3"/>
    <w:basedOn w:val="List3"/>
    <w:rsid w:val="001F03EF"/>
    <w:pPr>
      <w:ind w:left="1021" w:firstLine="0"/>
    </w:pPr>
  </w:style>
  <w:style w:type="paragraph" w:styleId="ListContinue4">
    <w:name w:val="List Continue 4"/>
    <w:basedOn w:val="List4"/>
    <w:rsid w:val="001F03EF"/>
    <w:pPr>
      <w:ind w:firstLine="0"/>
    </w:pPr>
  </w:style>
  <w:style w:type="paragraph" w:styleId="ListContinue5">
    <w:name w:val="List Continue 5"/>
    <w:basedOn w:val="List5"/>
    <w:rsid w:val="001F03EF"/>
    <w:pPr>
      <w:ind w:firstLine="0"/>
    </w:pPr>
  </w:style>
  <w:style w:type="paragraph" w:styleId="ListNumber3">
    <w:name w:val="List Number 3"/>
    <w:basedOn w:val="List3"/>
    <w:rsid w:val="001F03EF"/>
    <w:pPr>
      <w:numPr>
        <w:numId w:val="5"/>
      </w:numPr>
    </w:pPr>
  </w:style>
  <w:style w:type="paragraph" w:styleId="ListNumber4">
    <w:name w:val="List Number 4"/>
    <w:basedOn w:val="List4"/>
    <w:rsid w:val="001F03EF"/>
    <w:pPr>
      <w:numPr>
        <w:numId w:val="6"/>
      </w:numPr>
    </w:pPr>
  </w:style>
  <w:style w:type="paragraph" w:styleId="ListNumber5">
    <w:name w:val="List Number 5"/>
    <w:basedOn w:val="List5"/>
    <w:rsid w:val="001F03EF"/>
    <w:pPr>
      <w:numPr>
        <w:numId w:val="7"/>
      </w:numPr>
    </w:pPr>
  </w:style>
  <w:style w:type="paragraph" w:styleId="BlockText">
    <w:name w:val="Block Text"/>
    <w:basedOn w:val="Normal"/>
    <w:rsid w:val="001F03EF"/>
    <w:pPr>
      <w:spacing w:after="120"/>
      <w:ind w:left="1440" w:right="1440"/>
    </w:pPr>
  </w:style>
  <w:style w:type="character" w:customStyle="1" w:styleId="Subscript">
    <w:name w:val="Subscript"/>
    <w:basedOn w:val="DefaultParagraphFont"/>
    <w:rsid w:val="001F03EF"/>
    <w:rPr>
      <w:sz w:val="16"/>
      <w:vertAlign w:val="subscript"/>
    </w:rPr>
  </w:style>
  <w:style w:type="character" w:customStyle="1" w:styleId="Superscript">
    <w:name w:val="Superscript"/>
    <w:basedOn w:val="DefaultParagraphFont"/>
    <w:rsid w:val="001F03EF"/>
    <w:rPr>
      <w:sz w:val="16"/>
      <w:vertAlign w:val="superscript"/>
    </w:rPr>
  </w:style>
  <w:style w:type="character" w:customStyle="1" w:styleId="Symbols">
    <w:name w:val="Symbols"/>
    <w:basedOn w:val="DefaultParagraphFont"/>
    <w:rsid w:val="001F03EF"/>
    <w:rPr>
      <w:rFonts w:ascii="Symbol" w:hAnsi="Symbol"/>
    </w:rPr>
  </w:style>
  <w:style w:type="character" w:customStyle="1" w:styleId="MenuOptions">
    <w:name w:val="Menu Options"/>
    <w:basedOn w:val="DefaultParagraphFont"/>
    <w:rsid w:val="001F03EF"/>
    <w:rPr>
      <w:rFonts w:ascii="Arial Narrow" w:hAnsi="Arial Narrow"/>
      <w:smallCaps/>
    </w:rPr>
  </w:style>
  <w:style w:type="character" w:customStyle="1" w:styleId="Buttons">
    <w:name w:val="Buttons"/>
    <w:basedOn w:val="DefaultParagraphFont"/>
    <w:rsid w:val="001F03EF"/>
    <w:rPr>
      <w:b/>
    </w:rPr>
  </w:style>
  <w:style w:type="character" w:customStyle="1" w:styleId="Underlined">
    <w:name w:val="Underlined"/>
    <w:basedOn w:val="DefaultParagraphFont"/>
    <w:rsid w:val="001F03EF"/>
    <w:rPr>
      <w:u w:val="single"/>
    </w:rPr>
  </w:style>
  <w:style w:type="paragraph" w:customStyle="1" w:styleId="TableBodyTextRight">
    <w:name w:val="Table Body Text Right"/>
    <w:basedOn w:val="TableBodyText"/>
    <w:rsid w:val="001F03EF"/>
    <w:pPr>
      <w:widowControl w:val="0"/>
      <w:autoSpaceDE w:val="0"/>
      <w:autoSpaceDN w:val="0"/>
      <w:adjustRightInd w:val="0"/>
      <w:jc w:val="right"/>
    </w:pPr>
    <w:rPr>
      <w:rFonts w:cs="Arial"/>
      <w:szCs w:val="18"/>
    </w:rPr>
  </w:style>
  <w:style w:type="paragraph" w:customStyle="1" w:styleId="CopyrightText">
    <w:name w:val="Copyright Text"/>
    <w:basedOn w:val="BodyText"/>
    <w:rsid w:val="001F03EF"/>
    <w:rPr>
      <w:sz w:val="18"/>
    </w:rPr>
  </w:style>
  <w:style w:type="paragraph" w:customStyle="1" w:styleId="BodySmallRight">
    <w:name w:val="Body Small Right"/>
    <w:basedOn w:val="BodyTextRight"/>
    <w:rsid w:val="001F03EF"/>
    <w:rPr>
      <w:sz w:val="18"/>
      <w:szCs w:val="18"/>
    </w:rPr>
  </w:style>
  <w:style w:type="paragraph" w:customStyle="1" w:styleId="MarginEdition">
    <w:name w:val="Margin Edition"/>
    <w:basedOn w:val="MarginNote"/>
    <w:rsid w:val="001F03EF"/>
    <w:pPr>
      <w:spacing w:before="0" w:after="0"/>
    </w:pPr>
    <w:rPr>
      <w:rFonts w:ascii="Times New Roman" w:hAnsi="Times New Roman"/>
      <w:color w:val="999999"/>
    </w:rPr>
  </w:style>
  <w:style w:type="paragraph" w:customStyle="1" w:styleId="Spacer">
    <w:name w:val="Spacer"/>
    <w:basedOn w:val="Normal"/>
    <w:rsid w:val="001F03EF"/>
    <w:rPr>
      <w:sz w:val="2"/>
      <w:szCs w:val="2"/>
    </w:rPr>
  </w:style>
  <w:style w:type="character" w:customStyle="1" w:styleId="Small">
    <w:name w:val="Small"/>
    <w:basedOn w:val="DefaultParagraphFont"/>
    <w:rsid w:val="001F03EF"/>
    <w:rPr>
      <w:sz w:val="16"/>
    </w:rPr>
  </w:style>
  <w:style w:type="paragraph" w:customStyle="1" w:styleId="WideTable">
    <w:name w:val="Wide Table"/>
    <w:basedOn w:val="Normal"/>
    <w:rsid w:val="001F03EF"/>
    <w:pPr>
      <w:ind w:left="-1418"/>
    </w:pPr>
    <w:rPr>
      <w:sz w:val="2"/>
      <w:szCs w:val="2"/>
    </w:rPr>
  </w:style>
  <w:style w:type="character" w:styleId="PageNumber">
    <w:name w:val="page number"/>
    <w:basedOn w:val="DefaultParagraphFont"/>
    <w:rsid w:val="001F03EF"/>
  </w:style>
  <w:style w:type="paragraph" w:styleId="Quote">
    <w:name w:val="Quote"/>
    <w:basedOn w:val="Heading1"/>
    <w:link w:val="QuoteChar"/>
    <w:qFormat/>
    <w:rsid w:val="001F03EF"/>
    <w:rPr>
      <w:b w:val="0"/>
      <w:sz w:val="72"/>
      <w:szCs w:val="72"/>
      <w:lang w:val="en-NZ"/>
    </w:rPr>
  </w:style>
  <w:style w:type="character" w:customStyle="1" w:styleId="QuoteChar">
    <w:name w:val="Quote Char"/>
    <w:basedOn w:val="DefaultParagraphFont"/>
    <w:link w:val="Quote"/>
    <w:rsid w:val="001F0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03EF"/>
    <w:pPr>
      <w:pageBreakBefore/>
    </w:pPr>
  </w:style>
  <w:style w:type="paragraph" w:customStyle="1" w:styleId="Border">
    <w:name w:val="Border"/>
    <w:basedOn w:val="Normal"/>
    <w:qFormat/>
    <w:rsid w:val="001F0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03EF"/>
    <w:rPr>
      <w:b/>
      <w:bCs/>
      <w:i/>
      <w:iCs/>
      <w:color w:val="auto"/>
    </w:rPr>
  </w:style>
  <w:style w:type="paragraph" w:styleId="IntenseQuote">
    <w:name w:val="Intense Quote"/>
    <w:basedOn w:val="Normal"/>
    <w:next w:val="Normal"/>
    <w:link w:val="IntenseQuoteChar"/>
    <w:uiPriority w:val="30"/>
    <w:qFormat/>
    <w:rsid w:val="001F0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0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03EF"/>
    <w:rPr>
      <w:smallCaps/>
      <w:color w:val="auto"/>
      <w:u w:val="single"/>
    </w:rPr>
  </w:style>
  <w:style w:type="character" w:styleId="IntenseReference">
    <w:name w:val="Intense Reference"/>
    <w:basedOn w:val="DefaultParagraphFont"/>
    <w:uiPriority w:val="32"/>
    <w:qFormat/>
    <w:rsid w:val="001F03EF"/>
    <w:rPr>
      <w:b/>
      <w:bCs/>
      <w:smallCaps/>
      <w:color w:val="auto"/>
      <w:spacing w:val="5"/>
      <w:u w:val="single"/>
    </w:rPr>
  </w:style>
  <w:style w:type="paragraph" w:customStyle="1" w:styleId="2ColumnHeading">
    <w:name w:val="2Column Heading"/>
    <w:basedOn w:val="BodyText"/>
    <w:qFormat/>
    <w:rsid w:val="001F03EF"/>
    <w:pPr>
      <w:spacing w:after="60"/>
      <w:ind w:left="-2268"/>
    </w:pPr>
    <w:rPr>
      <w:b/>
    </w:rPr>
  </w:style>
  <w:style w:type="paragraph" w:customStyle="1" w:styleId="Heading1TOC">
    <w:name w:val="Heading1 TOC"/>
    <w:basedOn w:val="Normal"/>
    <w:qFormat/>
    <w:rsid w:val="001F03EF"/>
    <w:pPr>
      <w:spacing w:before="240" w:after="120"/>
    </w:pPr>
    <w:rPr>
      <w:rFonts w:ascii="Times New Roman" w:hAnsi="Times New Roman"/>
      <w:b/>
      <w:sz w:val="32"/>
    </w:rPr>
  </w:style>
  <w:style w:type="paragraph" w:customStyle="1" w:styleId="Heading2TOC">
    <w:name w:val="Heading2 TOC"/>
    <w:basedOn w:val="Normal"/>
    <w:qFormat/>
    <w:rsid w:val="001F03EF"/>
    <w:pPr>
      <w:spacing w:before="240" w:after="60"/>
    </w:pPr>
    <w:rPr>
      <w:rFonts w:ascii="Times New Roman" w:hAnsi="Times New Roman"/>
      <w:b/>
      <w:sz w:val="28"/>
    </w:rPr>
  </w:style>
  <w:style w:type="character" w:customStyle="1" w:styleId="Underline">
    <w:name w:val="Underline"/>
    <w:basedOn w:val="DefaultParagraphFont"/>
    <w:qFormat/>
    <w:rsid w:val="001F03EF"/>
    <w:rPr>
      <w:u w:val="single"/>
    </w:rPr>
  </w:style>
  <w:style w:type="character" w:customStyle="1" w:styleId="BoldandItalics">
    <w:name w:val="Bold and Italics"/>
    <w:qFormat/>
    <w:rsid w:val="001F03EF"/>
    <w:rPr>
      <w:b/>
      <w:i/>
      <w:u w:val="none"/>
    </w:rPr>
  </w:style>
  <w:style w:type="paragraph" w:styleId="BalloonText">
    <w:name w:val="Balloon Text"/>
    <w:basedOn w:val="Normal"/>
    <w:link w:val="BalloonTextChar"/>
    <w:rsid w:val="001F03EF"/>
    <w:rPr>
      <w:rFonts w:ascii="Tahoma" w:hAnsi="Tahoma" w:cs="Tahoma"/>
      <w:sz w:val="16"/>
      <w:szCs w:val="16"/>
    </w:rPr>
  </w:style>
  <w:style w:type="character" w:customStyle="1" w:styleId="BalloonTextChar">
    <w:name w:val="Balloon Text Char"/>
    <w:basedOn w:val="DefaultParagraphFont"/>
    <w:link w:val="BalloonText"/>
    <w:rsid w:val="001F0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0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0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03EF"/>
    <w:rPr>
      <w:b/>
      <w:color w:val="660033"/>
      <w:spacing w:val="0"/>
    </w:rPr>
  </w:style>
  <w:style w:type="paragraph" w:customStyle="1" w:styleId="Nameditemlist">
    <w:name w:val="Named item list"/>
    <w:basedOn w:val="BodyText"/>
    <w:qFormat/>
    <w:rsid w:val="001F03EF"/>
    <w:pPr>
      <w:tabs>
        <w:tab w:val="left" w:pos="2835"/>
      </w:tabs>
      <w:ind w:left="2835" w:hanging="2835"/>
    </w:pPr>
  </w:style>
  <w:style w:type="paragraph" w:customStyle="1" w:styleId="BodyTextnopadding">
    <w:name w:val="Body Text no padding"/>
    <w:basedOn w:val="BodyText"/>
    <w:qFormat/>
    <w:rsid w:val="001F03E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4808</Characters>
  <Application>Microsoft Office Word</Application>
  <DocSecurity>0</DocSecurity>
  <Lines>185</Lines>
  <Paragraphs>83</Paragraphs>
  <ScaleCrop>false</ScaleCrop>
  <Company>Author-it Software Corporation Ltd.</Company>
  <LinksUpToDate>false</LinksUpToDate>
  <CharactersWithSpaces>5497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MSFSS3003 Resolve quality and compliance issues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2018-12-03T08:40:00Z</dcterms:created>
  <dcterms:modified xsi:type="dcterms:W3CDTF">2018-12-03T08:40:00Z</dcterms:modified>
</cp:coreProperties>
</file>