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6B61" w:rsidP="00406B61">
      <w:pPr>
        <w:pStyle w:val="Title"/>
      </w:pPr>
      <w:r>
        <w:fldChar w:fldCharType="begin"/>
      </w:r>
      <w:r>
        <w:instrText xml:space="preserve"> TITLE   \* MERGEFORMAT </w:instrText>
      </w:r>
      <w:r>
        <w:fldChar w:fldCharType="separate"/>
      </w:r>
      <w:r>
        <w:t>MSFSS2003 Undertake surface preparation</w:t>
      </w:r>
      <w:r>
        <w:fldChar w:fldCharType="end"/>
      </w:r>
    </w:p>
    <w:p w:rsidR="00406B61" w:rsidP="00406B61">
      <w:pPr>
        <w:pStyle w:val="Version"/>
        <w:sectPr w:rsidSect="00024F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4F97" w:rsidP="00024F97">
      <w:pPr>
        <w:pStyle w:val="SuperHeading"/>
      </w:pPr>
      <w:r w:rsidRPr="00024F97">
        <w:t>MSFSS2003 Undertake surface preparation</w:t>
      </w:r>
    </w:p>
    <w:p w:rsidR="00000000" w:rsidRPr="00024F97" w:rsidP="00024F97">
      <w:pPr>
        <w:pStyle w:val="Heading1"/>
      </w:pPr>
      <w:bookmarkStart w:id="1" w:name="O_621160"/>
      <w:bookmarkEnd w:id="1"/>
      <w:r w:rsidRPr="00024F97">
        <w:t>Modification History</w:t>
      </w:r>
    </w:p>
    <w:p w:rsidR="00000000" w:rsidRPr="00024F97" w:rsidP="00406B61">
      <w:pPr>
        <w:pStyle w:val="BodyText"/>
      </w:pPr>
      <w:r w:rsidRPr="00024F97">
        <w:t>Release 1 - New unit of competency</w:t>
      </w:r>
    </w:p>
    <w:p w:rsidR="00000000" w:rsidRPr="00024F97" w:rsidP="00024F97">
      <w:pPr>
        <w:pStyle w:val="Heading1"/>
      </w:pPr>
      <w:bookmarkStart w:id="2" w:name="O_621161"/>
      <w:bookmarkEnd w:id="2"/>
      <w:r w:rsidRPr="00024F97">
        <w:t>Application</w:t>
      </w:r>
    </w:p>
    <w:p w:rsidR="00000000" w:rsidRPr="00024F97" w:rsidP="00406B61">
      <w:pPr>
        <w:pStyle w:val="BodyText"/>
      </w:pPr>
      <w:r w:rsidRPr="00024F97">
        <w:t>This unit of competency covers preparing surfaces, by hand or machine, for protective coatings, under-coatings and finishes using solvents.</w:t>
      </w:r>
    </w:p>
    <w:p w:rsidR="00000000" w:rsidRPr="00024F97" w:rsidP="00406B61">
      <w:pPr>
        <w:pStyle w:val="BodyText"/>
      </w:pPr>
      <w:r w:rsidRPr="00024F97">
        <w:t>No licensing, legislative or c</w:t>
      </w:r>
      <w:r w:rsidRPr="00024F97">
        <w:t>ertification requirements apply to this unit at the time of publication.</w:t>
      </w:r>
    </w:p>
    <w:p w:rsidR="00000000" w:rsidRPr="00024F97" w:rsidP="00024F97">
      <w:pPr>
        <w:pStyle w:val="Heading1"/>
      </w:pPr>
      <w:bookmarkStart w:id="3" w:name="O_621162"/>
      <w:bookmarkEnd w:id="3"/>
      <w:r w:rsidRPr="00024F97">
        <w:t>Pre-requisite Unit</w:t>
      </w:r>
    </w:p>
    <w:p w:rsidR="00000000" w:rsidRPr="00024F97" w:rsidP="00024F97">
      <w:pPr>
        <w:pStyle w:val="Heading1"/>
      </w:pPr>
      <w:bookmarkStart w:id="4" w:name="O_621163"/>
      <w:bookmarkEnd w:id="4"/>
      <w:r w:rsidRPr="00024F97">
        <w:t>Competency Field</w:t>
      </w:r>
    </w:p>
    <w:p w:rsidR="00000000" w:rsidRPr="00024F97" w:rsidP="00024F97">
      <w:pPr>
        <w:pStyle w:val="Heading1"/>
      </w:pPr>
      <w:bookmarkStart w:id="5" w:name="O_621164"/>
      <w:bookmarkEnd w:id="5"/>
      <w:r w:rsidRPr="00024F97">
        <w:t>Unit Sector</w:t>
      </w:r>
    </w:p>
    <w:p w:rsidR="00000000" w:rsidRPr="00024F97" w:rsidP="00406B61">
      <w:pPr>
        <w:pStyle w:val="BodyText"/>
      </w:pPr>
      <w:r w:rsidRPr="00024F97">
        <w:t>Security Screens and Grilles</w:t>
      </w:r>
    </w:p>
    <w:p w:rsidR="00000000" w:rsidRPr="00024F97" w:rsidP="00024F97">
      <w:pPr>
        <w:pStyle w:val="Heading1"/>
      </w:pPr>
      <w:bookmarkStart w:id="6" w:name="O_621165"/>
      <w:bookmarkEnd w:id="6"/>
      <w:r w:rsidRPr="00024F97">
        <w:t>Elements and Performance Criteria</w:t>
      </w:r>
    </w:p>
    <w:tbl>
      <w:tblPr>
        <w:tblW w:w="9286" w:type="dxa"/>
        <w:tblLayout w:type="fixed"/>
        <w:tblCellMar>
          <w:left w:w="62" w:type="dxa"/>
          <w:right w:w="62" w:type="dxa"/>
        </w:tblCellMar>
        <w:tblLook w:val="0000"/>
      </w:tblPr>
      <w:tblGrid>
        <w:gridCol w:w="630"/>
        <w:gridCol w:w="2129"/>
        <w:gridCol w:w="661"/>
        <w:gridCol w:w="5866"/>
      </w:tblGrid>
      <w:tr w:rsidTr="00024F97">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024F97">
            <w:pPr>
              <w:pStyle w:val="BodyText"/>
              <w:rPr>
                <w:lang w:val="en-NZ"/>
              </w:rPr>
            </w:pPr>
            <w:r w:rsidRPr="00024F97">
              <w:t>Elemen</w:t>
            </w:r>
            <w:r w:rsidRPr="00024F97">
              <w:t>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024F97">
            <w:pPr>
              <w:pStyle w:val="BodyText"/>
              <w:rPr>
                <w:lang w:val="en-NZ"/>
              </w:rPr>
            </w:pPr>
            <w:r w:rsidRPr="00024F97">
              <w:t>Performance criteria describe the performance needed to demonstrate achievement of the element.</w:t>
            </w:r>
          </w:p>
        </w:tc>
      </w:tr>
      <w:tr w:rsidTr="00024F97">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024F97">
            <w:pPr>
              <w:pStyle w:val="BodyText"/>
              <w:rPr>
                <w:lang w:val="en-NZ"/>
              </w:rPr>
            </w:pPr>
            <w:r w:rsidRPr="00024F97">
              <w:t>1</w:t>
            </w:r>
          </w:p>
        </w:tc>
        <w:tc>
          <w:tcPr>
            <w:tcW w:w="2129" w:type="dxa"/>
            <w:tcBorders>
              <w:top w:val="nil"/>
              <w:left w:val="nil"/>
              <w:bottom w:val="nil"/>
              <w:right w:val="nil"/>
            </w:tcBorders>
            <w:tcMar>
              <w:top w:w="0" w:type="dxa"/>
              <w:left w:w="62" w:type="dxa"/>
              <w:bottom w:w="0" w:type="dxa"/>
              <w:right w:w="62" w:type="dxa"/>
            </w:tcMar>
          </w:tcPr>
          <w:p w:rsidR="00000000" w:rsidP="00024F97">
            <w:pPr>
              <w:pStyle w:val="BodyText"/>
              <w:rPr>
                <w:lang w:val="en-NZ"/>
              </w:rPr>
            </w:pPr>
            <w:r w:rsidRPr="00024F97">
              <w:t>Establish work requirements</w:t>
            </w:r>
          </w:p>
        </w:tc>
        <w:tc>
          <w:tcPr>
            <w:tcW w:w="661" w:type="dxa"/>
            <w:tcBorders>
              <w:top w:val="nil"/>
              <w:left w:val="nil"/>
              <w:bottom w:val="nil"/>
              <w:right w:val="nil"/>
            </w:tcBorders>
            <w:tcMar>
              <w:top w:w="0" w:type="dxa"/>
              <w:left w:w="62" w:type="dxa"/>
              <w:bottom w:w="0" w:type="dxa"/>
              <w:right w:w="62" w:type="dxa"/>
            </w:tcMar>
          </w:tcPr>
          <w:p w:rsidR="00000000" w:rsidP="00024F97">
            <w:pPr>
              <w:pStyle w:val="BodyText"/>
              <w:rPr>
                <w:lang w:val="en-NZ"/>
              </w:rPr>
            </w:pPr>
            <w:r w:rsidRPr="00024F97">
              <w:t>1.1</w:t>
            </w:r>
          </w:p>
        </w:tc>
        <w:tc>
          <w:tcPr>
            <w:tcW w:w="5866" w:type="dxa"/>
            <w:tcBorders>
              <w:top w:val="nil"/>
              <w:left w:val="nil"/>
              <w:bottom w:val="nil"/>
              <w:right w:val="nil"/>
            </w:tcBorders>
            <w:tcMar>
              <w:top w:w="0" w:type="dxa"/>
              <w:left w:w="62" w:type="dxa"/>
              <w:bottom w:w="0" w:type="dxa"/>
              <w:right w:w="62" w:type="dxa"/>
            </w:tcMar>
          </w:tcPr>
          <w:p w:rsidR="00000000" w:rsidP="00024F97">
            <w:pPr>
              <w:pStyle w:val="BodyText"/>
              <w:rPr>
                <w:lang w:val="en-NZ"/>
              </w:rPr>
            </w:pPr>
            <w:r w:rsidRPr="00024F97">
              <w:t>Applicable work health and safety (WHS), legislative and organisational requirements relevant to surface preparation are verified and complied with</w:t>
            </w:r>
          </w:p>
        </w:tc>
      </w:tr>
      <w:tr w:rsidTr="00024F97">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24F97">
            <w:pPr>
              <w:pStyle w:val="BodyText"/>
              <w:rPr>
                <w:lang w:val="en-NZ"/>
              </w:rPr>
            </w:pPr>
            <w:r w:rsidRPr="00024F97">
              <w:t>1.2</w:t>
            </w:r>
          </w:p>
        </w:tc>
        <w:tc>
          <w:tcPr>
            <w:tcW w:w="5866" w:type="dxa"/>
            <w:tcBorders>
              <w:top w:val="nil"/>
              <w:left w:val="nil"/>
              <w:bottom w:val="nil"/>
              <w:right w:val="nil"/>
            </w:tcBorders>
            <w:tcMar>
              <w:top w:w="0" w:type="dxa"/>
              <w:left w:w="62" w:type="dxa"/>
              <w:bottom w:w="0" w:type="dxa"/>
              <w:right w:w="62" w:type="dxa"/>
            </w:tcMar>
          </w:tcPr>
          <w:p w:rsidR="00000000" w:rsidP="00024F97">
            <w:pPr>
              <w:pStyle w:val="BodyText"/>
              <w:rPr>
                <w:lang w:val="en-NZ"/>
              </w:rPr>
            </w:pPr>
            <w:r w:rsidRPr="00024F97">
              <w:t>Instructions, plans and/or work instructions are read and interpreted to identify processes and mater</w:t>
            </w:r>
            <w:r w:rsidRPr="00024F97">
              <w:t>ials to complete work tasks</w:t>
            </w:r>
          </w:p>
        </w:tc>
      </w:tr>
      <w:tr w:rsidTr="00024F97">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24F97">
            <w:pPr>
              <w:pStyle w:val="BodyText"/>
              <w:rPr>
                <w:lang w:val="en-NZ"/>
              </w:rPr>
            </w:pPr>
            <w:r w:rsidRPr="00024F97">
              <w:t>1.3</w:t>
            </w:r>
          </w:p>
        </w:tc>
        <w:tc>
          <w:tcPr>
            <w:tcW w:w="5866" w:type="dxa"/>
            <w:tcBorders>
              <w:top w:val="nil"/>
              <w:left w:val="nil"/>
              <w:bottom w:val="nil"/>
              <w:right w:val="nil"/>
            </w:tcBorders>
            <w:tcMar>
              <w:top w:w="0" w:type="dxa"/>
              <w:left w:w="62" w:type="dxa"/>
              <w:bottom w:w="0" w:type="dxa"/>
              <w:right w:w="62" w:type="dxa"/>
            </w:tcMar>
          </w:tcPr>
          <w:p w:rsidR="00000000" w:rsidP="00024F97">
            <w:pPr>
              <w:pStyle w:val="BodyText"/>
              <w:rPr>
                <w:lang w:val="en-NZ"/>
              </w:rPr>
            </w:pPr>
            <w:r w:rsidRPr="00024F97">
              <w:t>Tools, equipment and materials are selected and checked prior to use to ensure that they are appropriate for the work, serviceable and in a safe condition</w:t>
            </w:r>
          </w:p>
        </w:tc>
      </w:tr>
      <w:tr w:rsidTr="00024F97">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24F97">
            <w:pPr>
              <w:pStyle w:val="BodyText"/>
              <w:rPr>
                <w:lang w:val="en-NZ"/>
              </w:rPr>
            </w:pPr>
            <w:r w:rsidRPr="00024F97">
              <w:t>1.4</w:t>
            </w:r>
          </w:p>
        </w:tc>
        <w:tc>
          <w:tcPr>
            <w:tcW w:w="5866" w:type="dxa"/>
            <w:tcBorders>
              <w:top w:val="nil"/>
              <w:left w:val="nil"/>
              <w:bottom w:val="nil"/>
              <w:right w:val="nil"/>
            </w:tcBorders>
            <w:tcMar>
              <w:top w:w="0" w:type="dxa"/>
              <w:left w:w="62" w:type="dxa"/>
              <w:bottom w:w="0" w:type="dxa"/>
              <w:right w:w="62" w:type="dxa"/>
            </w:tcMar>
          </w:tcPr>
          <w:p w:rsidR="00000000" w:rsidP="00024F97">
            <w:pPr>
              <w:pStyle w:val="BodyText"/>
              <w:rPr>
                <w:lang w:val="en-NZ"/>
              </w:rPr>
            </w:pPr>
            <w:r w:rsidRPr="00024F97">
              <w:t>Where required, appropriate solvent and application method is selected to meet job specification</w:t>
            </w:r>
          </w:p>
        </w:tc>
      </w:tr>
      <w:tr w:rsidTr="00024F97">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024F97">
            <w:pPr>
              <w:pStyle w:val="BodyText"/>
              <w:rPr>
                <w:lang w:val="en-NZ"/>
              </w:rPr>
            </w:pPr>
            <w:r w:rsidRPr="00024F97">
              <w:t>2</w:t>
            </w:r>
          </w:p>
        </w:tc>
        <w:tc>
          <w:tcPr>
            <w:tcW w:w="2129" w:type="dxa"/>
            <w:tcBorders>
              <w:top w:val="nil"/>
              <w:left w:val="nil"/>
              <w:bottom w:val="nil"/>
              <w:right w:val="nil"/>
            </w:tcBorders>
            <w:tcMar>
              <w:top w:w="0" w:type="dxa"/>
              <w:left w:w="62" w:type="dxa"/>
              <w:bottom w:w="0" w:type="dxa"/>
              <w:right w:w="62" w:type="dxa"/>
            </w:tcMar>
          </w:tcPr>
          <w:p w:rsidR="00000000" w:rsidP="00024F97">
            <w:pPr>
              <w:pStyle w:val="BodyText"/>
              <w:rPr>
                <w:lang w:val="en-NZ"/>
              </w:rPr>
            </w:pPr>
            <w:r w:rsidRPr="00024F97">
              <w:t xml:space="preserve">Prepare worksite </w:t>
            </w:r>
            <w:r w:rsidRPr="00024F97">
              <w:t>and set up equipment</w:t>
            </w:r>
          </w:p>
        </w:tc>
        <w:tc>
          <w:tcPr>
            <w:tcW w:w="661" w:type="dxa"/>
            <w:tcBorders>
              <w:top w:val="nil"/>
              <w:left w:val="nil"/>
              <w:bottom w:val="nil"/>
              <w:right w:val="nil"/>
            </w:tcBorders>
            <w:tcMar>
              <w:top w:w="0" w:type="dxa"/>
              <w:left w:w="62" w:type="dxa"/>
              <w:bottom w:w="0" w:type="dxa"/>
              <w:right w:w="62" w:type="dxa"/>
            </w:tcMar>
          </w:tcPr>
          <w:p w:rsidR="00000000" w:rsidP="00024F97">
            <w:pPr>
              <w:pStyle w:val="BodyText"/>
              <w:rPr>
                <w:lang w:val="en-NZ"/>
              </w:rPr>
            </w:pPr>
            <w:r w:rsidRPr="00024F97">
              <w:t>2.1</w:t>
            </w:r>
          </w:p>
        </w:tc>
        <w:tc>
          <w:tcPr>
            <w:tcW w:w="5866" w:type="dxa"/>
            <w:tcBorders>
              <w:top w:val="nil"/>
              <w:left w:val="nil"/>
              <w:bottom w:val="nil"/>
              <w:right w:val="nil"/>
            </w:tcBorders>
            <w:tcMar>
              <w:top w:w="0" w:type="dxa"/>
              <w:left w:w="62" w:type="dxa"/>
              <w:bottom w:w="0" w:type="dxa"/>
              <w:right w:w="62" w:type="dxa"/>
            </w:tcMar>
          </w:tcPr>
          <w:p w:rsidR="00000000" w:rsidP="00024F97">
            <w:pPr>
              <w:pStyle w:val="BodyText"/>
              <w:rPr>
                <w:lang w:val="en-NZ"/>
              </w:rPr>
            </w:pPr>
            <w:r w:rsidRPr="00024F97">
              <w:t xml:space="preserve">Worksite is prepared in accordance with surface cleaning </w:t>
            </w:r>
            <w:r w:rsidRPr="00024F97">
              <w:t>activity</w:t>
            </w:r>
          </w:p>
        </w:tc>
      </w:tr>
      <w:tr w:rsidTr="00024F97">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24F97">
            <w:pPr>
              <w:pStyle w:val="BodyText"/>
              <w:rPr>
                <w:lang w:val="en-NZ"/>
              </w:rPr>
            </w:pPr>
            <w:r w:rsidRPr="00024F97">
              <w:t>2.2</w:t>
            </w:r>
          </w:p>
        </w:tc>
        <w:tc>
          <w:tcPr>
            <w:tcW w:w="5866" w:type="dxa"/>
            <w:tcBorders>
              <w:top w:val="nil"/>
              <w:left w:val="nil"/>
              <w:bottom w:val="nil"/>
              <w:right w:val="nil"/>
            </w:tcBorders>
            <w:tcMar>
              <w:top w:w="0" w:type="dxa"/>
              <w:left w:w="62" w:type="dxa"/>
              <w:bottom w:w="0" w:type="dxa"/>
              <w:right w:w="62" w:type="dxa"/>
            </w:tcMar>
          </w:tcPr>
          <w:p w:rsidR="00000000" w:rsidP="00024F97">
            <w:pPr>
              <w:pStyle w:val="BodyText"/>
              <w:rPr>
                <w:lang w:val="en-NZ"/>
              </w:rPr>
            </w:pPr>
            <w:r w:rsidRPr="00024F97">
              <w:t>Appropriate equipment and any required co</w:t>
            </w:r>
            <w:r w:rsidRPr="00024F97">
              <w:t>nsumables are assembled, set up and prepared in accordance with manufacturer specifications and organisational procedures</w:t>
            </w:r>
          </w:p>
        </w:tc>
      </w:tr>
      <w:tr w:rsidTr="00024F97">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24F97">
            <w:pPr>
              <w:pStyle w:val="BodyText"/>
              <w:rPr>
                <w:lang w:val="en-NZ"/>
              </w:rPr>
            </w:pPr>
            <w:r w:rsidRPr="00024F97">
              <w:t>2.3</w:t>
            </w:r>
          </w:p>
        </w:tc>
        <w:tc>
          <w:tcPr>
            <w:tcW w:w="5866" w:type="dxa"/>
            <w:tcBorders>
              <w:top w:val="nil"/>
              <w:left w:val="nil"/>
              <w:bottom w:val="nil"/>
              <w:right w:val="nil"/>
            </w:tcBorders>
            <w:tcMar>
              <w:top w:w="0" w:type="dxa"/>
              <w:left w:w="62" w:type="dxa"/>
              <w:bottom w:w="0" w:type="dxa"/>
              <w:right w:w="62" w:type="dxa"/>
            </w:tcMar>
          </w:tcPr>
          <w:p w:rsidR="00000000" w:rsidP="00024F97">
            <w:pPr>
              <w:pStyle w:val="BodyText"/>
              <w:rPr>
                <w:lang w:val="en-NZ"/>
              </w:rPr>
            </w:pPr>
            <w:r w:rsidRPr="00024F97">
              <w:t>Hazards are recognised and steps adopted to ensure safety</w:t>
            </w:r>
          </w:p>
        </w:tc>
      </w:tr>
      <w:tr w:rsidTr="00024F97">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024F97">
            <w:pPr>
              <w:pStyle w:val="BodyText"/>
              <w:rPr>
                <w:lang w:val="en-NZ"/>
              </w:rPr>
            </w:pPr>
            <w:r w:rsidRPr="00024F97">
              <w:t>3</w:t>
            </w:r>
          </w:p>
        </w:tc>
        <w:tc>
          <w:tcPr>
            <w:tcW w:w="2129" w:type="dxa"/>
            <w:tcBorders>
              <w:top w:val="nil"/>
              <w:left w:val="nil"/>
              <w:bottom w:val="nil"/>
              <w:right w:val="nil"/>
            </w:tcBorders>
            <w:tcMar>
              <w:top w:w="0" w:type="dxa"/>
              <w:left w:w="62" w:type="dxa"/>
              <w:bottom w:w="0" w:type="dxa"/>
              <w:right w:w="62" w:type="dxa"/>
            </w:tcMar>
          </w:tcPr>
          <w:p w:rsidR="00000000" w:rsidP="00024F97">
            <w:pPr>
              <w:pStyle w:val="BodyText"/>
              <w:rPr>
                <w:lang w:val="en-NZ"/>
              </w:rPr>
            </w:pPr>
            <w:r w:rsidRPr="00024F97">
              <w:t>Prepare surfaces using solvents as required</w:t>
            </w:r>
          </w:p>
        </w:tc>
        <w:tc>
          <w:tcPr>
            <w:tcW w:w="661" w:type="dxa"/>
            <w:tcBorders>
              <w:top w:val="nil"/>
              <w:left w:val="nil"/>
              <w:bottom w:val="nil"/>
              <w:right w:val="nil"/>
            </w:tcBorders>
            <w:tcMar>
              <w:top w:w="0" w:type="dxa"/>
              <w:left w:w="62" w:type="dxa"/>
              <w:bottom w:w="0" w:type="dxa"/>
              <w:right w:w="62" w:type="dxa"/>
            </w:tcMar>
          </w:tcPr>
          <w:p w:rsidR="00000000" w:rsidP="00024F97">
            <w:pPr>
              <w:pStyle w:val="BodyText"/>
              <w:rPr>
                <w:lang w:val="en-NZ"/>
              </w:rPr>
            </w:pPr>
            <w:r w:rsidRPr="00024F97">
              <w:t>3.1</w:t>
            </w:r>
          </w:p>
        </w:tc>
        <w:tc>
          <w:tcPr>
            <w:tcW w:w="5866" w:type="dxa"/>
            <w:tcBorders>
              <w:top w:val="nil"/>
              <w:left w:val="nil"/>
              <w:bottom w:val="nil"/>
              <w:right w:val="nil"/>
            </w:tcBorders>
            <w:tcMar>
              <w:top w:w="0" w:type="dxa"/>
              <w:left w:w="62" w:type="dxa"/>
              <w:bottom w:w="0" w:type="dxa"/>
              <w:right w:w="62" w:type="dxa"/>
            </w:tcMar>
          </w:tcPr>
          <w:p w:rsidR="00000000" w:rsidP="00024F97">
            <w:pPr>
              <w:pStyle w:val="BodyText"/>
              <w:rPr>
                <w:lang w:val="en-NZ"/>
              </w:rPr>
            </w:pPr>
            <w:r w:rsidRPr="00024F97">
              <w:t>Surfaces are prepared for procedures</w:t>
            </w:r>
          </w:p>
        </w:tc>
      </w:tr>
      <w:tr w:rsidTr="00024F97">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24F97">
            <w:pPr>
              <w:pStyle w:val="BodyText"/>
              <w:rPr>
                <w:lang w:val="en-NZ"/>
              </w:rPr>
            </w:pPr>
            <w:r w:rsidRPr="00024F97">
              <w:t>3.2</w:t>
            </w:r>
          </w:p>
        </w:tc>
        <w:tc>
          <w:tcPr>
            <w:tcW w:w="5866" w:type="dxa"/>
            <w:tcBorders>
              <w:top w:val="nil"/>
              <w:left w:val="nil"/>
              <w:bottom w:val="nil"/>
              <w:right w:val="nil"/>
            </w:tcBorders>
            <w:tcMar>
              <w:top w:w="0" w:type="dxa"/>
              <w:left w:w="62" w:type="dxa"/>
              <w:bottom w:w="0" w:type="dxa"/>
              <w:right w:w="62" w:type="dxa"/>
            </w:tcMar>
          </w:tcPr>
          <w:p w:rsidR="00000000" w:rsidP="00024F97">
            <w:pPr>
              <w:pStyle w:val="BodyText"/>
              <w:rPr>
                <w:lang w:val="en-NZ"/>
              </w:rPr>
            </w:pPr>
            <w:r w:rsidRPr="00024F97">
              <w:t>Safe working environment for solvent use is established according to regulatory requirements and organisational procedures</w:t>
            </w:r>
          </w:p>
        </w:tc>
      </w:tr>
      <w:tr w:rsidTr="00024F97">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24F97">
            <w:pPr>
              <w:pStyle w:val="BodyText"/>
              <w:rPr>
                <w:lang w:val="en-NZ"/>
              </w:rPr>
            </w:pPr>
            <w:r w:rsidRPr="00024F97">
              <w:t>3.3</w:t>
            </w:r>
          </w:p>
        </w:tc>
        <w:tc>
          <w:tcPr>
            <w:tcW w:w="5866" w:type="dxa"/>
            <w:tcBorders>
              <w:top w:val="nil"/>
              <w:left w:val="nil"/>
              <w:bottom w:val="nil"/>
              <w:right w:val="nil"/>
            </w:tcBorders>
            <w:tcMar>
              <w:top w:w="0" w:type="dxa"/>
              <w:left w:w="62" w:type="dxa"/>
              <w:bottom w:w="0" w:type="dxa"/>
              <w:right w:w="62" w:type="dxa"/>
            </w:tcMar>
          </w:tcPr>
          <w:p w:rsidR="00000000" w:rsidP="00024F97">
            <w:pPr>
              <w:pStyle w:val="BodyText"/>
              <w:rPr>
                <w:lang w:val="en-NZ"/>
              </w:rPr>
            </w:pPr>
            <w:r w:rsidRPr="00024F97">
              <w:t>Solvents are applied</w:t>
            </w:r>
          </w:p>
        </w:tc>
      </w:tr>
      <w:tr w:rsidTr="00024F97">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24F97">
            <w:pPr>
              <w:pStyle w:val="BodyText"/>
              <w:rPr>
                <w:lang w:val="en-NZ"/>
              </w:rPr>
            </w:pPr>
            <w:r w:rsidRPr="00024F97">
              <w:t>3.4</w:t>
            </w:r>
          </w:p>
        </w:tc>
        <w:tc>
          <w:tcPr>
            <w:tcW w:w="5866" w:type="dxa"/>
            <w:tcBorders>
              <w:top w:val="nil"/>
              <w:left w:val="nil"/>
              <w:bottom w:val="nil"/>
              <w:right w:val="nil"/>
            </w:tcBorders>
            <w:tcMar>
              <w:top w:w="0" w:type="dxa"/>
              <w:left w:w="62" w:type="dxa"/>
              <w:bottom w:w="0" w:type="dxa"/>
              <w:right w:w="62" w:type="dxa"/>
            </w:tcMar>
          </w:tcPr>
          <w:p w:rsidR="00000000" w:rsidP="00024F97">
            <w:pPr>
              <w:pStyle w:val="BodyText"/>
              <w:rPr>
                <w:lang w:val="en-NZ"/>
              </w:rPr>
            </w:pPr>
            <w:r w:rsidRPr="00024F97">
              <w:t>Treated surface is neutralised and made safe to handle</w:t>
            </w:r>
          </w:p>
        </w:tc>
      </w:tr>
      <w:tr w:rsidTr="00024F97">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24F97">
            <w:pPr>
              <w:pStyle w:val="BodyText"/>
              <w:rPr>
                <w:lang w:val="en-NZ"/>
              </w:rPr>
            </w:pPr>
            <w:r w:rsidRPr="00024F97">
              <w:t>3.5</w:t>
            </w:r>
          </w:p>
        </w:tc>
        <w:tc>
          <w:tcPr>
            <w:tcW w:w="5866" w:type="dxa"/>
            <w:tcBorders>
              <w:top w:val="nil"/>
              <w:left w:val="nil"/>
              <w:bottom w:val="nil"/>
              <w:right w:val="nil"/>
            </w:tcBorders>
            <w:tcMar>
              <w:top w:w="0" w:type="dxa"/>
              <w:left w:w="62" w:type="dxa"/>
              <w:bottom w:w="0" w:type="dxa"/>
              <w:right w:w="62" w:type="dxa"/>
            </w:tcMar>
          </w:tcPr>
          <w:p w:rsidR="00000000" w:rsidP="00024F97">
            <w:pPr>
              <w:pStyle w:val="BodyText"/>
              <w:rPr>
                <w:lang w:val="en-NZ"/>
              </w:rPr>
            </w:pPr>
            <w:r w:rsidRPr="00024F97">
              <w:t>The area is made safe in accordance with organisational procedures</w:t>
            </w:r>
          </w:p>
        </w:tc>
      </w:tr>
      <w:tr w:rsidTr="00024F97">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024F97">
            <w:pPr>
              <w:pStyle w:val="BodyText"/>
              <w:rPr>
                <w:lang w:val="en-NZ"/>
              </w:rPr>
            </w:pPr>
            <w:r w:rsidRPr="00024F97">
              <w:t>4</w:t>
            </w:r>
          </w:p>
        </w:tc>
        <w:tc>
          <w:tcPr>
            <w:tcW w:w="2129" w:type="dxa"/>
            <w:tcBorders>
              <w:top w:val="nil"/>
              <w:left w:val="nil"/>
              <w:bottom w:val="nil"/>
              <w:right w:val="nil"/>
            </w:tcBorders>
            <w:tcMar>
              <w:top w:w="0" w:type="dxa"/>
              <w:left w:w="62" w:type="dxa"/>
              <w:bottom w:w="0" w:type="dxa"/>
              <w:right w:w="62" w:type="dxa"/>
            </w:tcMar>
          </w:tcPr>
          <w:p w:rsidR="00000000" w:rsidP="00024F97">
            <w:pPr>
              <w:pStyle w:val="BodyText"/>
              <w:rPr>
                <w:lang w:val="en-NZ"/>
              </w:rPr>
            </w:pPr>
            <w:r w:rsidRPr="00024F97">
              <w:t>Prepare surfaces using mechanical means</w:t>
            </w:r>
          </w:p>
        </w:tc>
        <w:tc>
          <w:tcPr>
            <w:tcW w:w="661" w:type="dxa"/>
            <w:tcBorders>
              <w:top w:val="nil"/>
              <w:left w:val="nil"/>
              <w:bottom w:val="nil"/>
              <w:right w:val="nil"/>
            </w:tcBorders>
            <w:tcMar>
              <w:top w:w="0" w:type="dxa"/>
              <w:left w:w="62" w:type="dxa"/>
              <w:bottom w:w="0" w:type="dxa"/>
              <w:right w:w="62" w:type="dxa"/>
            </w:tcMar>
          </w:tcPr>
          <w:p w:rsidR="00000000" w:rsidP="00024F97">
            <w:pPr>
              <w:pStyle w:val="BodyText"/>
              <w:rPr>
                <w:lang w:val="en-NZ"/>
              </w:rPr>
            </w:pPr>
            <w:r w:rsidRPr="00024F97">
              <w:t>4.1</w:t>
            </w:r>
          </w:p>
        </w:tc>
        <w:tc>
          <w:tcPr>
            <w:tcW w:w="5866" w:type="dxa"/>
            <w:tcBorders>
              <w:top w:val="nil"/>
              <w:left w:val="nil"/>
              <w:bottom w:val="nil"/>
              <w:right w:val="nil"/>
            </w:tcBorders>
            <w:tcMar>
              <w:top w:w="0" w:type="dxa"/>
              <w:left w:w="62" w:type="dxa"/>
              <w:bottom w:w="0" w:type="dxa"/>
              <w:right w:w="62" w:type="dxa"/>
            </w:tcMar>
          </w:tcPr>
          <w:p w:rsidR="00000000" w:rsidP="00024F97">
            <w:pPr>
              <w:pStyle w:val="BodyText"/>
              <w:rPr>
                <w:lang w:val="en-NZ"/>
              </w:rPr>
            </w:pPr>
            <w:r w:rsidRPr="00024F97">
              <w:t>Safe</w:t>
            </w:r>
            <w:r w:rsidRPr="00024F97">
              <w:t xml:space="preserve"> working environment for mechanical surface preparation is established according to regulatory requirements and organisational procedures</w:t>
            </w:r>
          </w:p>
        </w:tc>
      </w:tr>
      <w:tr w:rsidTr="00024F97">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24F97">
            <w:pPr>
              <w:pStyle w:val="BodyText"/>
              <w:rPr>
                <w:lang w:val="en-NZ"/>
              </w:rPr>
            </w:pPr>
            <w:r w:rsidRPr="00024F97">
              <w:t>4.2</w:t>
            </w:r>
          </w:p>
        </w:tc>
        <w:tc>
          <w:tcPr>
            <w:tcW w:w="5866" w:type="dxa"/>
            <w:tcBorders>
              <w:top w:val="nil"/>
              <w:left w:val="nil"/>
              <w:bottom w:val="nil"/>
              <w:right w:val="nil"/>
            </w:tcBorders>
            <w:tcMar>
              <w:top w:w="0" w:type="dxa"/>
              <w:left w:w="62" w:type="dxa"/>
              <w:bottom w:w="0" w:type="dxa"/>
              <w:right w:w="62" w:type="dxa"/>
            </w:tcMar>
          </w:tcPr>
          <w:p w:rsidR="00000000" w:rsidP="00024F97">
            <w:pPr>
              <w:pStyle w:val="BodyText"/>
              <w:rPr>
                <w:lang w:val="en-NZ"/>
              </w:rPr>
            </w:pPr>
            <w:r w:rsidRPr="00024F97">
              <w:t>Surfaces are prepared to specifications using mechanical means</w:t>
            </w:r>
          </w:p>
        </w:tc>
      </w:tr>
      <w:tr w:rsidTr="00024F97">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24F97">
            <w:pPr>
              <w:pStyle w:val="BodyText"/>
              <w:rPr>
                <w:lang w:val="en-NZ"/>
              </w:rPr>
            </w:pPr>
            <w:r w:rsidRPr="00024F97">
              <w:t>4.3</w:t>
            </w:r>
          </w:p>
        </w:tc>
        <w:tc>
          <w:tcPr>
            <w:tcW w:w="5866" w:type="dxa"/>
            <w:tcBorders>
              <w:top w:val="nil"/>
              <w:left w:val="nil"/>
              <w:bottom w:val="nil"/>
              <w:right w:val="nil"/>
            </w:tcBorders>
            <w:tcMar>
              <w:top w:w="0" w:type="dxa"/>
              <w:left w:w="62" w:type="dxa"/>
              <w:bottom w:w="0" w:type="dxa"/>
              <w:right w:w="62" w:type="dxa"/>
            </w:tcMar>
          </w:tcPr>
          <w:p w:rsidR="00000000" w:rsidP="00024F97">
            <w:pPr>
              <w:pStyle w:val="BodyText"/>
              <w:rPr>
                <w:lang w:val="en-NZ"/>
              </w:rPr>
            </w:pPr>
            <w:r w:rsidRPr="00024F97">
              <w:t>Adjustments are made, as required, to mee</w:t>
            </w:r>
            <w:r w:rsidRPr="00024F97">
              <w:t>t specifications</w:t>
            </w:r>
          </w:p>
        </w:tc>
      </w:tr>
      <w:tr w:rsidTr="00024F97">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24F97">
            <w:pPr>
              <w:pStyle w:val="BodyText"/>
              <w:rPr>
                <w:lang w:val="en-NZ"/>
              </w:rPr>
            </w:pPr>
            <w:r w:rsidRPr="00024F97">
              <w:t>4.4</w:t>
            </w:r>
          </w:p>
        </w:tc>
        <w:tc>
          <w:tcPr>
            <w:tcW w:w="5866" w:type="dxa"/>
            <w:tcBorders>
              <w:top w:val="nil"/>
              <w:left w:val="nil"/>
              <w:bottom w:val="nil"/>
              <w:right w:val="nil"/>
            </w:tcBorders>
            <w:tcMar>
              <w:top w:w="0" w:type="dxa"/>
              <w:left w:w="62" w:type="dxa"/>
              <w:bottom w:w="0" w:type="dxa"/>
              <w:right w:w="62" w:type="dxa"/>
            </w:tcMar>
          </w:tcPr>
          <w:p w:rsidR="00000000" w:rsidP="00024F97">
            <w:pPr>
              <w:pStyle w:val="BodyText"/>
              <w:rPr>
                <w:lang w:val="en-NZ"/>
              </w:rPr>
            </w:pPr>
            <w:r w:rsidRPr="00024F97">
              <w:t>Surface preparation faults are rectified as necessary</w:t>
            </w:r>
          </w:p>
        </w:tc>
      </w:tr>
      <w:tr w:rsidTr="00024F97">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24F97">
            <w:pPr>
              <w:pStyle w:val="BodyText"/>
              <w:rPr>
                <w:lang w:val="en-NZ"/>
              </w:rPr>
            </w:pPr>
            <w:r w:rsidRPr="00024F97">
              <w:t>4.5</w:t>
            </w:r>
          </w:p>
        </w:tc>
        <w:tc>
          <w:tcPr>
            <w:tcW w:w="5866" w:type="dxa"/>
            <w:tcBorders>
              <w:top w:val="nil"/>
              <w:left w:val="nil"/>
              <w:bottom w:val="nil"/>
              <w:right w:val="nil"/>
            </w:tcBorders>
            <w:tcMar>
              <w:top w:w="0" w:type="dxa"/>
              <w:left w:w="62" w:type="dxa"/>
              <w:bottom w:w="0" w:type="dxa"/>
              <w:right w:w="62" w:type="dxa"/>
            </w:tcMar>
          </w:tcPr>
          <w:p w:rsidR="00000000" w:rsidP="00024F97">
            <w:pPr>
              <w:pStyle w:val="BodyText"/>
              <w:rPr>
                <w:lang w:val="en-NZ"/>
              </w:rPr>
            </w:pPr>
            <w:r w:rsidRPr="00024F97">
              <w:t>Equipment used is cleaned and checked for damage and operational faults in accordance with organisational procedures</w:t>
            </w:r>
          </w:p>
        </w:tc>
      </w:tr>
      <w:tr w:rsidTr="00024F97">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024F97">
            <w:pPr>
              <w:pStyle w:val="BodyText"/>
              <w:rPr>
                <w:lang w:val="en-NZ"/>
              </w:rPr>
            </w:pPr>
            <w:r w:rsidRPr="00024F97">
              <w:t>5</w:t>
            </w:r>
          </w:p>
        </w:tc>
        <w:tc>
          <w:tcPr>
            <w:tcW w:w="2129" w:type="dxa"/>
            <w:tcBorders>
              <w:top w:val="nil"/>
              <w:left w:val="nil"/>
              <w:bottom w:val="nil"/>
              <w:right w:val="nil"/>
            </w:tcBorders>
            <w:tcMar>
              <w:top w:w="0" w:type="dxa"/>
              <w:left w:w="62" w:type="dxa"/>
              <w:bottom w:w="0" w:type="dxa"/>
              <w:right w:w="62" w:type="dxa"/>
            </w:tcMar>
          </w:tcPr>
          <w:p w:rsidR="00000000" w:rsidP="00024F97">
            <w:pPr>
              <w:pStyle w:val="BodyText"/>
              <w:rPr>
                <w:lang w:val="en-NZ"/>
              </w:rPr>
            </w:pPr>
            <w:r w:rsidRPr="00024F97">
              <w:t>Ensure surfaces are adequately prepared and clean up</w:t>
            </w:r>
          </w:p>
        </w:tc>
        <w:tc>
          <w:tcPr>
            <w:tcW w:w="661" w:type="dxa"/>
            <w:tcBorders>
              <w:top w:val="nil"/>
              <w:left w:val="nil"/>
              <w:bottom w:val="nil"/>
              <w:right w:val="nil"/>
            </w:tcBorders>
            <w:tcMar>
              <w:top w:w="0" w:type="dxa"/>
              <w:left w:w="62" w:type="dxa"/>
              <w:bottom w:w="0" w:type="dxa"/>
              <w:right w:w="62" w:type="dxa"/>
            </w:tcMar>
          </w:tcPr>
          <w:p w:rsidR="00000000" w:rsidP="00024F97">
            <w:pPr>
              <w:pStyle w:val="BodyText"/>
              <w:rPr>
                <w:lang w:val="en-NZ"/>
              </w:rPr>
            </w:pPr>
            <w:r w:rsidRPr="00024F97">
              <w:t>5.1</w:t>
            </w:r>
          </w:p>
        </w:tc>
        <w:tc>
          <w:tcPr>
            <w:tcW w:w="5866" w:type="dxa"/>
            <w:tcBorders>
              <w:top w:val="nil"/>
              <w:left w:val="nil"/>
              <w:bottom w:val="nil"/>
              <w:right w:val="nil"/>
            </w:tcBorders>
            <w:tcMar>
              <w:top w:w="0" w:type="dxa"/>
              <w:left w:w="62" w:type="dxa"/>
              <w:bottom w:w="0" w:type="dxa"/>
              <w:right w:w="62" w:type="dxa"/>
            </w:tcMar>
          </w:tcPr>
          <w:p w:rsidR="00000000" w:rsidP="00024F97">
            <w:pPr>
              <w:pStyle w:val="BodyText"/>
              <w:rPr>
                <w:lang w:val="en-NZ"/>
              </w:rPr>
            </w:pPr>
            <w:r w:rsidRPr="00024F97">
              <w:t>Surface preparation is assessed for cleanliness and conformance with specification</w:t>
            </w:r>
          </w:p>
        </w:tc>
      </w:tr>
      <w:tr w:rsidTr="00024F97">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24F97">
            <w:pPr>
              <w:pStyle w:val="BodyText"/>
              <w:rPr>
                <w:lang w:val="en-NZ"/>
              </w:rPr>
            </w:pPr>
            <w:r w:rsidRPr="00024F97">
              <w:t>5.2</w:t>
            </w:r>
          </w:p>
        </w:tc>
        <w:tc>
          <w:tcPr>
            <w:tcW w:w="5866" w:type="dxa"/>
            <w:tcBorders>
              <w:top w:val="nil"/>
              <w:left w:val="nil"/>
              <w:bottom w:val="nil"/>
              <w:right w:val="nil"/>
            </w:tcBorders>
            <w:tcMar>
              <w:top w:w="0" w:type="dxa"/>
              <w:left w:w="62" w:type="dxa"/>
              <w:bottom w:w="0" w:type="dxa"/>
              <w:right w:w="62" w:type="dxa"/>
            </w:tcMar>
          </w:tcPr>
          <w:p w:rsidR="00000000" w:rsidP="00024F97">
            <w:pPr>
              <w:pStyle w:val="BodyText"/>
              <w:rPr>
                <w:lang w:val="en-NZ"/>
              </w:rPr>
            </w:pPr>
            <w:r w:rsidRPr="00024F97">
              <w:t>Any faults in the surface preparation are identified and action taken to remedy them in accordance with proce</w:t>
            </w:r>
            <w:r w:rsidRPr="00024F97">
              <w:t>dures</w:t>
            </w:r>
          </w:p>
        </w:tc>
      </w:tr>
      <w:tr w:rsidTr="00024F97">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24F97">
            <w:pPr>
              <w:pStyle w:val="BodyText"/>
              <w:rPr>
                <w:lang w:val="en-NZ"/>
              </w:rPr>
            </w:pPr>
            <w:r w:rsidRPr="00024F97">
              <w:t>5.3</w:t>
            </w:r>
          </w:p>
        </w:tc>
        <w:tc>
          <w:tcPr>
            <w:tcW w:w="5866" w:type="dxa"/>
            <w:tcBorders>
              <w:top w:val="nil"/>
              <w:left w:val="nil"/>
              <w:bottom w:val="nil"/>
              <w:right w:val="nil"/>
            </w:tcBorders>
            <w:tcMar>
              <w:top w:w="0" w:type="dxa"/>
              <w:left w:w="62" w:type="dxa"/>
              <w:bottom w:w="0" w:type="dxa"/>
              <w:right w:w="62" w:type="dxa"/>
            </w:tcMar>
          </w:tcPr>
          <w:p w:rsidR="00000000" w:rsidP="00024F97">
            <w:pPr>
              <w:pStyle w:val="BodyText"/>
              <w:rPr>
                <w:lang w:val="en-NZ"/>
              </w:rPr>
            </w:pPr>
            <w:r w:rsidRPr="00024F97">
              <w:t>Problems are reported to a designated person</w:t>
            </w:r>
          </w:p>
        </w:tc>
      </w:tr>
      <w:tr w:rsidTr="00024F97">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24F97">
            <w:pPr>
              <w:pStyle w:val="BodyText"/>
              <w:rPr>
                <w:lang w:val="en-NZ"/>
              </w:rPr>
            </w:pPr>
            <w:r w:rsidRPr="00024F97">
              <w:t>5.4</w:t>
            </w:r>
          </w:p>
        </w:tc>
        <w:tc>
          <w:tcPr>
            <w:tcW w:w="5866" w:type="dxa"/>
            <w:tcBorders>
              <w:top w:val="nil"/>
              <w:left w:val="nil"/>
              <w:bottom w:val="nil"/>
              <w:right w:val="nil"/>
            </w:tcBorders>
            <w:tcMar>
              <w:top w:w="0" w:type="dxa"/>
              <w:left w:w="62" w:type="dxa"/>
              <w:bottom w:w="0" w:type="dxa"/>
              <w:right w:w="62" w:type="dxa"/>
            </w:tcMar>
          </w:tcPr>
          <w:p w:rsidR="00000000" w:rsidP="00024F97">
            <w:pPr>
              <w:pStyle w:val="BodyText"/>
              <w:rPr>
                <w:lang w:val="en-NZ"/>
              </w:rPr>
            </w:pPr>
            <w:r w:rsidRPr="00024F97">
              <w:t>Records and documentation are completed in accordance with organisational procedures</w:t>
            </w:r>
          </w:p>
        </w:tc>
      </w:tr>
      <w:tr w:rsidTr="00024F97">
        <w:tblPrEx>
          <w:tblW w:w="9286" w:type="dxa"/>
          <w:tblLayout w:type="fixed"/>
          <w:tblCellMar>
            <w:left w:w="62" w:type="dxa"/>
            <w:right w:w="62" w:type="dxa"/>
          </w:tblCellMar>
          <w:tblLook w:val="0000"/>
        </w:tblPrEx>
        <w:trPr>
          <w:trHeight w:val="80"/>
        </w:trPr>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24F97">
            <w:pPr>
              <w:pStyle w:val="BodyText"/>
              <w:rPr>
                <w:lang w:val="en-NZ"/>
              </w:rPr>
            </w:pPr>
            <w:r w:rsidRPr="00024F97">
              <w:t>5.5</w:t>
            </w:r>
          </w:p>
        </w:tc>
        <w:tc>
          <w:tcPr>
            <w:tcW w:w="5866" w:type="dxa"/>
            <w:tcBorders>
              <w:top w:val="nil"/>
              <w:left w:val="nil"/>
              <w:bottom w:val="nil"/>
              <w:right w:val="nil"/>
            </w:tcBorders>
            <w:tcMar>
              <w:top w:w="0" w:type="dxa"/>
              <w:left w:w="62" w:type="dxa"/>
              <w:bottom w:w="0" w:type="dxa"/>
              <w:right w:w="62" w:type="dxa"/>
            </w:tcMar>
          </w:tcPr>
          <w:p w:rsidR="00000000" w:rsidRPr="00024F97" w:rsidP="00024F97">
            <w:pPr>
              <w:pStyle w:val="BodyText"/>
            </w:pPr>
            <w:r w:rsidRPr="00024F97">
              <w:t>Work area is restored and waste disposed of in accordance with organisational procedures</w:t>
            </w:r>
          </w:p>
        </w:tc>
      </w:tr>
    </w:tbl>
    <w:p w:rsidR="00000000" w:rsidRPr="00024F97" w:rsidP="00024F97">
      <w:pPr>
        <w:pStyle w:val="BodyText"/>
      </w:pPr>
    </w:p>
    <w:p w:rsidR="00000000" w:rsidRPr="00024F97" w:rsidP="00024F97">
      <w:pPr>
        <w:pStyle w:val="AllowPageBreak"/>
      </w:pPr>
    </w:p>
    <w:p w:rsidR="00000000" w:rsidRPr="00024F97" w:rsidP="00024F97">
      <w:pPr>
        <w:pStyle w:val="Heading1"/>
      </w:pPr>
      <w:bookmarkStart w:id="7" w:name="O_621166"/>
      <w:bookmarkEnd w:id="7"/>
      <w:r w:rsidRPr="00024F97">
        <w:t>Foundation Skills</w:t>
      </w:r>
    </w:p>
    <w:p w:rsidR="00000000" w:rsidRPr="00024F97" w:rsidP="00406B61">
      <w:pPr>
        <w:pStyle w:val="BodyText"/>
      </w:pPr>
      <w:r w:rsidRPr="00024F97">
        <w:t>Foundation skills essential to performance are explicit in the performance criteria of this unit of competency. Detail on appropriate performance levels for each furnishing unit of competency in reading, writing, oral comm</w:t>
      </w:r>
      <w:r w:rsidRPr="00024F97">
        <w:t>unication and numeracy utilising the Australian Core Skills Framework (ACSF) are provided in the Furnishing Training Package Implementation Guide.</w:t>
      </w:r>
    </w:p>
    <w:p w:rsidR="00000000" w:rsidRPr="00024F97" w:rsidP="00024F97">
      <w:pPr>
        <w:pStyle w:val="Heading1"/>
      </w:pPr>
      <w:bookmarkStart w:id="8" w:name="O_621167"/>
      <w:bookmarkEnd w:id="8"/>
      <w:r w:rsidRPr="00024F97">
        <w:t>Range of Conditions</w:t>
      </w:r>
    </w:p>
    <w:tbl>
      <w:tblPr>
        <w:tblW w:w="0" w:type="auto"/>
        <w:tblLayout w:type="fixed"/>
        <w:tblCellMar>
          <w:left w:w="62" w:type="dxa"/>
          <w:right w:w="62" w:type="dxa"/>
        </w:tblCellMar>
        <w:tblLook w:val="0000"/>
      </w:tblPr>
      <w:tblGrid>
        <w:gridCol w:w="2760"/>
        <w:gridCol w:w="6312"/>
      </w:tblGrid>
      <w:tr w:rsidTr="00024F9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24F97">
            <w:pPr>
              <w:pStyle w:val="BodyText"/>
              <w:rPr>
                <w:lang w:val="en-NZ"/>
              </w:rPr>
            </w:pPr>
            <w:r w:rsidRPr="00024F97">
              <w:t>Specifies different work environments and conditions that may affect per</w:t>
            </w:r>
            <w:r w:rsidRPr="00024F97">
              <w:t xml:space="preserve">formance. Essential operating conditions that may be present (depending on the work situation, needs of the candidate, accessibility of the item, and local industry and regional contexts) are included. Range is restricted to essential operating conditions </w:t>
            </w:r>
            <w:r w:rsidRPr="00024F97">
              <w:t>and any other variables essential to the work environment.</w:t>
            </w:r>
          </w:p>
        </w:tc>
      </w:tr>
      <w:tr w:rsidTr="00024F9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24F97">
            <w:pPr>
              <w:pStyle w:val="BodyText"/>
              <w:rPr>
                <w:lang w:val="en-NZ"/>
              </w:rPr>
            </w:pPr>
            <w:r w:rsidRPr="00024F97">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024F97" w:rsidP="00024F97">
            <w:pPr>
              <w:pStyle w:val="ListBullet"/>
            </w:pPr>
            <w:r w:rsidRPr="00024F97">
              <w:t xml:space="preserve">WHS requirements, including legislation, building codes, material safety management </w:t>
            </w:r>
            <w:r w:rsidRPr="00024F97">
              <w:t xml:space="preserve">systems, hazardous and dangerous goods codes, and local safe operating procedures or equivalent </w:t>
            </w:r>
          </w:p>
          <w:p w:rsidR="00000000" w:rsidRPr="00024F97" w:rsidP="00024F97">
            <w:pPr>
              <w:pStyle w:val="ListBullet"/>
            </w:pPr>
            <w:r w:rsidRPr="00024F97">
              <w:t>work is carried out in accordance with legislative obligations, environmental legislation, relevant health regulations, manual handling procedures and organisa</w:t>
            </w:r>
            <w:r w:rsidRPr="00024F97">
              <w:t>tion insurance requirements</w:t>
            </w:r>
          </w:p>
          <w:p w:rsidR="00000000" w:rsidP="00024F97">
            <w:pPr>
              <w:pStyle w:val="ListBullet"/>
              <w:rPr>
                <w:lang w:val="en-NZ"/>
              </w:rPr>
            </w:pPr>
            <w:r w:rsidRPr="00024F97">
              <w:t xml:space="preserve">work requires individuals to demonstrate some discretion, judgement and problem solving </w:t>
            </w:r>
          </w:p>
        </w:tc>
      </w:tr>
      <w:tr w:rsidTr="00024F9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24F97">
            <w:pPr>
              <w:pStyle w:val="BodyText"/>
              <w:rPr>
                <w:lang w:val="en-NZ"/>
              </w:rPr>
            </w:pPr>
            <w:r w:rsidRPr="00024F97">
              <w:rPr>
                <w:rStyle w:val="SpecialBold"/>
              </w:rPr>
              <w:t>Surface preparation includes:</w:t>
            </w:r>
          </w:p>
        </w:tc>
        <w:tc>
          <w:tcPr>
            <w:tcW w:w="6312" w:type="dxa"/>
            <w:tcBorders>
              <w:top w:val="nil"/>
              <w:left w:val="nil"/>
              <w:bottom w:val="nil"/>
              <w:right w:val="nil"/>
            </w:tcBorders>
            <w:tcMar>
              <w:top w:w="0" w:type="dxa"/>
              <w:left w:w="62" w:type="dxa"/>
              <w:bottom w:w="0" w:type="dxa"/>
              <w:right w:w="62" w:type="dxa"/>
            </w:tcMar>
          </w:tcPr>
          <w:p w:rsidR="00000000" w:rsidRPr="00024F97" w:rsidP="00024F97">
            <w:pPr>
              <w:pStyle w:val="ListBullet"/>
            </w:pPr>
            <w:r w:rsidRPr="00024F97">
              <w:t xml:space="preserve">the preparation of product material for finish coating, either powder coating or other paint type surface, </w:t>
            </w:r>
            <w:r w:rsidRPr="00024F97">
              <w:t>through solvent or mechanical means</w:t>
            </w:r>
          </w:p>
          <w:p w:rsidR="00000000" w:rsidP="00024F97">
            <w:pPr>
              <w:pStyle w:val="ListBullet"/>
              <w:rPr>
                <w:lang w:val="en-NZ"/>
              </w:rPr>
            </w:pPr>
            <w:r w:rsidRPr="00024F97">
              <w:t>mechanical means include steel brush, file, and so on</w:t>
            </w:r>
          </w:p>
        </w:tc>
      </w:tr>
      <w:tr w:rsidTr="00024F9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24F97">
            <w:pPr>
              <w:pStyle w:val="BodyText"/>
              <w:rPr>
                <w:lang w:val="en-NZ"/>
              </w:rPr>
            </w:pPr>
            <w:r w:rsidRPr="00024F97">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024F97" w:rsidP="00024F97">
            <w:pPr>
              <w:pStyle w:val="ListBullet"/>
            </w:pPr>
            <w:r w:rsidRPr="00024F97">
              <w:t xml:space="preserve">files </w:t>
            </w:r>
          </w:p>
          <w:p w:rsidR="00000000" w:rsidRPr="00024F97" w:rsidP="00024F97">
            <w:pPr>
              <w:pStyle w:val="ListBullet"/>
            </w:pPr>
            <w:r w:rsidRPr="00024F97">
              <w:t>hand rasps</w:t>
            </w:r>
          </w:p>
          <w:p w:rsidR="00000000" w:rsidRPr="00024F97" w:rsidP="00024F97">
            <w:pPr>
              <w:pStyle w:val="ListBullet"/>
            </w:pPr>
            <w:r w:rsidRPr="00024F97">
              <w:t xml:space="preserve">hand finishing tools </w:t>
            </w:r>
          </w:p>
          <w:p w:rsidR="00000000" w:rsidRPr="00024F97" w:rsidP="00024F97">
            <w:pPr>
              <w:pStyle w:val="ListBullet"/>
            </w:pPr>
            <w:r w:rsidRPr="00024F97">
              <w:t>power tools</w:t>
            </w:r>
          </w:p>
          <w:p w:rsidR="00000000" w:rsidRPr="00024F97" w:rsidP="00024F97">
            <w:pPr>
              <w:pStyle w:val="ListBullet"/>
            </w:pPr>
            <w:r w:rsidRPr="00024F97">
              <w:t xml:space="preserve">jigs </w:t>
            </w:r>
          </w:p>
          <w:p w:rsidR="00000000" w:rsidP="00024F97">
            <w:pPr>
              <w:pStyle w:val="ListBullet"/>
              <w:rPr>
                <w:lang w:val="en-NZ"/>
              </w:rPr>
            </w:pPr>
            <w:r w:rsidRPr="00024F97">
              <w:t>power sanders</w:t>
            </w:r>
          </w:p>
        </w:tc>
      </w:tr>
      <w:tr w:rsidTr="00024F9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24F97">
            <w:pPr>
              <w:pStyle w:val="BodyText"/>
              <w:rPr>
                <w:lang w:val="en-NZ"/>
              </w:rPr>
            </w:pPr>
            <w:r w:rsidRPr="00024F97">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024F97" w:rsidP="00024F97">
            <w:pPr>
              <w:pStyle w:val="ListBullet"/>
            </w:pPr>
            <w:r w:rsidRPr="00024F97">
              <w:t>metal</w:t>
            </w:r>
          </w:p>
          <w:p w:rsidR="00000000" w:rsidRPr="00024F97" w:rsidP="00024F97">
            <w:pPr>
              <w:pStyle w:val="ListBullet"/>
            </w:pPr>
            <w:r w:rsidRPr="00024F97">
              <w:t xml:space="preserve">aluminium </w:t>
            </w:r>
          </w:p>
          <w:p w:rsidR="00000000" w:rsidP="00024F97">
            <w:pPr>
              <w:pStyle w:val="ListBullet"/>
              <w:rPr>
                <w:lang w:val="en-NZ"/>
              </w:rPr>
            </w:pPr>
            <w:r w:rsidRPr="00024F97">
              <w:t>composite materials</w:t>
            </w:r>
          </w:p>
        </w:tc>
      </w:tr>
      <w:tr w:rsidTr="00024F9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24F97">
            <w:pPr>
              <w:pStyle w:val="BodyText"/>
              <w:rPr>
                <w:lang w:val="en-NZ"/>
              </w:rPr>
            </w:pPr>
            <w:r w:rsidRPr="00024F97">
              <w:rPr>
                <w:rStyle w:val="SpecialBold"/>
              </w:rPr>
              <w:t>Hazards include:</w:t>
            </w:r>
          </w:p>
        </w:tc>
        <w:tc>
          <w:tcPr>
            <w:tcW w:w="6312" w:type="dxa"/>
            <w:tcBorders>
              <w:top w:val="nil"/>
              <w:left w:val="nil"/>
              <w:bottom w:val="nil"/>
              <w:right w:val="nil"/>
            </w:tcBorders>
            <w:tcMar>
              <w:top w:w="0" w:type="dxa"/>
              <w:left w:w="62" w:type="dxa"/>
              <w:bottom w:w="0" w:type="dxa"/>
              <w:right w:w="62" w:type="dxa"/>
            </w:tcMar>
          </w:tcPr>
          <w:p w:rsidR="00000000" w:rsidRPr="00024F97" w:rsidP="00024F97">
            <w:pPr>
              <w:pStyle w:val="ListBullet"/>
            </w:pPr>
            <w:r w:rsidRPr="00024F97">
              <w:t>acids</w:t>
            </w:r>
          </w:p>
          <w:p w:rsidR="00000000" w:rsidRPr="00024F97" w:rsidP="00024F97">
            <w:pPr>
              <w:pStyle w:val="ListBullet"/>
            </w:pPr>
            <w:r w:rsidRPr="00024F97">
              <w:t>hydrocarbons and other solvents as both liquid or vapour</w:t>
            </w:r>
          </w:p>
          <w:p w:rsidR="00000000" w:rsidRPr="00024F97" w:rsidP="00024F97">
            <w:pPr>
              <w:pStyle w:val="ListBullet"/>
            </w:pPr>
            <w:r w:rsidRPr="00024F97">
              <w:t xml:space="preserve">moving equipment and machinery </w:t>
            </w:r>
          </w:p>
          <w:p w:rsidR="00000000" w:rsidP="00024F97">
            <w:pPr>
              <w:pStyle w:val="ListBullet"/>
              <w:rPr>
                <w:lang w:val="en-NZ"/>
              </w:rPr>
            </w:pPr>
            <w:r w:rsidRPr="00024F97">
              <w:t>manual handling hazards</w:t>
            </w:r>
          </w:p>
        </w:tc>
      </w:tr>
      <w:tr w:rsidTr="00024F9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24F97">
            <w:pPr>
              <w:pStyle w:val="BodyText"/>
              <w:rPr>
                <w:lang w:val="en-NZ"/>
              </w:rPr>
            </w:pPr>
            <w:r w:rsidRPr="00024F97">
              <w:rPr>
                <w:rStyle w:val="SpecialBold"/>
              </w:rPr>
              <w:t>Solvents include:</w:t>
            </w:r>
          </w:p>
        </w:tc>
        <w:tc>
          <w:tcPr>
            <w:tcW w:w="6312" w:type="dxa"/>
            <w:tcBorders>
              <w:top w:val="nil"/>
              <w:left w:val="nil"/>
              <w:bottom w:val="nil"/>
              <w:right w:val="nil"/>
            </w:tcBorders>
            <w:tcMar>
              <w:top w:w="0" w:type="dxa"/>
              <w:left w:w="62" w:type="dxa"/>
              <w:bottom w:w="0" w:type="dxa"/>
              <w:right w:w="62" w:type="dxa"/>
            </w:tcMar>
          </w:tcPr>
          <w:p w:rsidR="00000000" w:rsidRPr="00024F97" w:rsidP="00024F97">
            <w:pPr>
              <w:pStyle w:val="ListBullet"/>
            </w:pPr>
            <w:r w:rsidRPr="00024F97">
              <w:t xml:space="preserve">acids </w:t>
            </w:r>
          </w:p>
          <w:p w:rsidR="00000000" w:rsidP="00024F97">
            <w:pPr>
              <w:pStyle w:val="ListBullet"/>
              <w:rPr>
                <w:lang w:val="en-NZ"/>
              </w:rPr>
            </w:pPr>
            <w:r w:rsidRPr="00024F97">
              <w:t xml:space="preserve">hydrocarbons  </w:t>
            </w:r>
          </w:p>
        </w:tc>
      </w:tr>
      <w:tr w:rsidTr="00024F9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24F97" w:rsidP="00024F97">
            <w:pPr>
              <w:pStyle w:val="BodyText"/>
            </w:pPr>
            <w:r w:rsidRPr="00024F97">
              <w:rPr>
                <w:rStyle w:val="SpecialBold"/>
              </w:rPr>
              <w:t>Application of solvents includes:</w:t>
            </w:r>
          </w:p>
          <w:p w:rsidR="00000000" w:rsidP="00024F97">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24F97" w:rsidP="00024F97">
            <w:pPr>
              <w:pStyle w:val="ListBullet"/>
            </w:pPr>
            <w:r w:rsidRPr="00024F97">
              <w:t>brush</w:t>
            </w:r>
          </w:p>
          <w:p w:rsidR="00000000" w:rsidRPr="00024F97" w:rsidP="00024F97">
            <w:pPr>
              <w:pStyle w:val="ListBullet"/>
            </w:pPr>
            <w:r w:rsidRPr="00024F97">
              <w:t>spraying</w:t>
            </w:r>
          </w:p>
          <w:p w:rsidR="00000000" w:rsidRPr="00024F97" w:rsidP="00024F97">
            <w:pPr>
              <w:pStyle w:val="ListBullet"/>
            </w:pPr>
            <w:r w:rsidRPr="00024F97">
              <w:t>wiping</w:t>
            </w:r>
          </w:p>
          <w:p w:rsidR="00000000" w:rsidP="00024F97">
            <w:pPr>
              <w:pStyle w:val="ListBullet"/>
              <w:rPr>
                <w:lang w:val="en-NZ"/>
              </w:rPr>
            </w:pPr>
            <w:r w:rsidRPr="00024F97">
              <w:t>dipping in a solvent bath</w:t>
            </w:r>
          </w:p>
        </w:tc>
      </w:tr>
      <w:tr w:rsidTr="00024F9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24F97">
            <w:pPr>
              <w:pStyle w:val="BodyText"/>
              <w:rPr>
                <w:lang w:val="en-NZ"/>
              </w:rPr>
            </w:pPr>
            <w:r w:rsidRPr="00024F97">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024F97">
            <w:pPr>
              <w:pStyle w:val="ListBullet"/>
              <w:rPr>
                <w:lang w:val="en-NZ"/>
              </w:rPr>
            </w:pPr>
            <w:r w:rsidRPr="00024F97">
              <w:t>that prescribed under legislation, regulation and enterprise policies and practices</w:t>
            </w:r>
          </w:p>
        </w:tc>
      </w:tr>
      <w:tr w:rsidTr="00024F9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24F97">
            <w:pPr>
              <w:pStyle w:val="BodyText"/>
              <w:rPr>
                <w:lang w:val="en-NZ"/>
              </w:rPr>
            </w:pPr>
            <w:r w:rsidRPr="00024F97">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024F97" w:rsidP="00024F97">
            <w:pPr>
              <w:pStyle w:val="ListBullet"/>
            </w:pPr>
            <w:r w:rsidRPr="00024F97">
              <w:t xml:space="preserve">workplace procedures relating to the use of tools and equipment and personal protective equipment </w:t>
            </w:r>
          </w:p>
          <w:p w:rsidR="00000000" w:rsidRPr="00024F97" w:rsidP="00024F97">
            <w:pPr>
              <w:pStyle w:val="ListBullet"/>
            </w:pPr>
            <w:r w:rsidRPr="00024F97">
              <w:t xml:space="preserve">work instructions, including job sheets, cutting lists, plans, drawings and designs </w:t>
            </w:r>
          </w:p>
          <w:p w:rsidR="00000000" w:rsidRPr="00024F97" w:rsidP="00024F97">
            <w:pPr>
              <w:pStyle w:val="ListBullet"/>
            </w:pPr>
            <w:r w:rsidRPr="00024F97">
              <w:t xml:space="preserve">workplace procedures relating to reporting and communication </w:t>
            </w:r>
          </w:p>
          <w:p w:rsidR="00000000" w:rsidRPr="00024F97" w:rsidP="00024F97">
            <w:pPr>
              <w:pStyle w:val="ListBullet"/>
            </w:pPr>
            <w:r w:rsidRPr="00024F97">
              <w:t>manufactur</w:t>
            </w:r>
            <w:r w:rsidRPr="00024F97">
              <w:t>er specifications and operational procedures</w:t>
            </w:r>
          </w:p>
        </w:tc>
      </w:tr>
    </w:tbl>
    <w:p w:rsidR="00000000" w:rsidRPr="00024F97" w:rsidP="00024F97">
      <w:pPr>
        <w:pStyle w:val="BodyText"/>
      </w:pPr>
    </w:p>
    <w:p w:rsidR="00000000" w:rsidRPr="00024F97" w:rsidP="00024F97">
      <w:pPr>
        <w:pStyle w:val="AllowPageBreak"/>
      </w:pPr>
    </w:p>
    <w:p w:rsidR="00000000" w:rsidRPr="00024F97" w:rsidP="00024F97">
      <w:pPr>
        <w:pStyle w:val="Heading1"/>
      </w:pPr>
      <w:bookmarkStart w:id="9" w:name="O_621168"/>
      <w:bookmarkEnd w:id="9"/>
      <w:r w:rsidRPr="00024F97">
        <w:t>Unit Mapping Information</w:t>
      </w:r>
    </w:p>
    <w:p w:rsidR="00000000" w:rsidRPr="00024F97" w:rsidP="00406B61">
      <w:pPr>
        <w:pStyle w:val="BodyText"/>
      </w:pPr>
      <w:r w:rsidRPr="00024F97">
        <w:t>Supersedes and is equivalent to LMFSS2004A Undertake surface preparation.</w:t>
      </w:r>
    </w:p>
    <w:p w:rsidR="00000000" w:rsidRPr="00024F97" w:rsidP="00024F97">
      <w:pPr>
        <w:pStyle w:val="Heading1"/>
      </w:pPr>
      <w:bookmarkStart w:id="10" w:name="O_621175"/>
      <w:bookmarkEnd w:id="10"/>
      <w:r w:rsidRPr="00024F97">
        <w:t>Links</w:t>
      </w:r>
    </w:p>
    <w:p w:rsidR="00000000" w:rsidRPr="00024F97" w:rsidP="00406B61">
      <w:pPr>
        <w:pStyle w:val="BodyText"/>
      </w:pPr>
      <w:r w:rsidRPr="00024F97">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2510C">
        <w:rPr>
          <w:rStyle w:val="Hyperlink"/>
        </w:rPr>
        <w:t>https://vetnet.gov.au/Pages/TrainingDocs.aspx?q=0601ab95-583a-4e93-b2d4-cfb27b03ed73</w:t>
      </w:r>
      <w:r>
        <w:fldChar w:fldCharType="end"/>
      </w:r>
    </w:p>
    <w:p w:rsidR="00000000" w:rsidRPr="00024F97" w:rsidP="00024F97"/>
    <w:sectPr w:rsidSect="00024F9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F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F97" w:rsidRPr="00406B61" w:rsidP="00406B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F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B61" w:rsidP="00024F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06B61" w:rsidP="00024F9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06B61" w:rsidP="00024F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F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B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4F97" w:rsidRPr="00406B61" w:rsidP="00406B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F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B61" w:rsidRPr="002D2AF8" w:rsidP="00024F97">
    <w:pPr>
      <w:pStyle w:val="Header"/>
      <w:framePr w:wrap="around"/>
    </w:pPr>
    <w:r>
      <w:fldChar w:fldCharType="begin"/>
    </w:r>
    <w:r>
      <w:instrText xml:space="preserve"> TITLE   \* MERGEFORMAT </w:instrText>
    </w:r>
    <w:r>
      <w:fldChar w:fldCharType="separate"/>
    </w:r>
    <w:r>
      <w:t>MSFSS2003 Undertake surface preparation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406B61" w:rsidP="00024F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93475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F1AC0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4F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4F97"/>
    <w:pPr>
      <w:spacing w:before="360" w:after="60"/>
      <w:outlineLvl w:val="0"/>
    </w:pPr>
    <w:rPr>
      <w:sz w:val="32"/>
    </w:rPr>
  </w:style>
  <w:style w:type="paragraph" w:styleId="Heading2">
    <w:name w:val="heading 2"/>
    <w:basedOn w:val="HeadingBase"/>
    <w:next w:val="BodyText"/>
    <w:link w:val="Heading2Char"/>
    <w:qFormat/>
    <w:rsid w:val="00024F97"/>
    <w:pPr>
      <w:keepLines/>
      <w:spacing w:before="240" w:after="120"/>
      <w:outlineLvl w:val="1"/>
    </w:pPr>
    <w:rPr>
      <w:sz w:val="28"/>
      <w:szCs w:val="40"/>
    </w:rPr>
  </w:style>
  <w:style w:type="paragraph" w:styleId="Heading3">
    <w:name w:val="heading 3"/>
    <w:basedOn w:val="HeadingBase"/>
    <w:next w:val="BodyText"/>
    <w:link w:val="Heading3Char"/>
    <w:qFormat/>
    <w:rsid w:val="00024F97"/>
    <w:pPr>
      <w:spacing w:before="180" w:after="120"/>
      <w:outlineLvl w:val="2"/>
    </w:pPr>
    <w:rPr>
      <w:spacing w:val="-10"/>
      <w:kern w:val="32"/>
    </w:rPr>
  </w:style>
  <w:style w:type="paragraph" w:styleId="Heading4">
    <w:name w:val="heading 4"/>
    <w:basedOn w:val="HeadingBase"/>
    <w:next w:val="BodyText"/>
    <w:link w:val="Heading4Char"/>
    <w:qFormat/>
    <w:rsid w:val="00024F97"/>
    <w:pPr>
      <w:spacing w:before="160" w:after="120"/>
      <w:outlineLvl w:val="3"/>
    </w:pPr>
    <w:rPr>
      <w:sz w:val="22"/>
    </w:rPr>
  </w:style>
  <w:style w:type="paragraph" w:styleId="Heading5">
    <w:name w:val="heading 5"/>
    <w:basedOn w:val="HeadingBase"/>
    <w:next w:val="Normal"/>
    <w:link w:val="Heading5Char"/>
    <w:qFormat/>
    <w:rsid w:val="00024F97"/>
    <w:pPr>
      <w:spacing w:before="80"/>
      <w:outlineLvl w:val="4"/>
    </w:pPr>
    <w:rPr>
      <w:color w:val="918585"/>
      <w:sz w:val="20"/>
    </w:rPr>
  </w:style>
  <w:style w:type="paragraph" w:styleId="Heading6">
    <w:name w:val="heading 6"/>
    <w:basedOn w:val="HeadingBase"/>
    <w:next w:val="Normal"/>
    <w:link w:val="Heading6Char"/>
    <w:qFormat/>
    <w:rsid w:val="00024F97"/>
    <w:pPr>
      <w:spacing w:before="60"/>
      <w:outlineLvl w:val="5"/>
    </w:pPr>
    <w:rPr>
      <w:color w:val="918585"/>
      <w:sz w:val="20"/>
    </w:rPr>
  </w:style>
  <w:style w:type="paragraph" w:styleId="Heading7">
    <w:name w:val="heading 7"/>
    <w:basedOn w:val="Normal"/>
    <w:next w:val="Normal"/>
    <w:link w:val="Heading7Char"/>
    <w:qFormat/>
    <w:rsid w:val="00024F97"/>
    <w:pPr>
      <w:ind w:left="720"/>
      <w:outlineLvl w:val="6"/>
    </w:pPr>
    <w:rPr>
      <w:i/>
    </w:rPr>
  </w:style>
  <w:style w:type="paragraph" w:styleId="Heading8">
    <w:name w:val="heading 8"/>
    <w:basedOn w:val="Normal"/>
    <w:next w:val="Normal"/>
    <w:link w:val="Heading8Char"/>
    <w:qFormat/>
    <w:rsid w:val="00024F97"/>
    <w:pPr>
      <w:ind w:left="720"/>
      <w:outlineLvl w:val="7"/>
    </w:pPr>
    <w:rPr>
      <w:i/>
    </w:rPr>
  </w:style>
  <w:style w:type="paragraph" w:styleId="Heading9">
    <w:name w:val="heading 9"/>
    <w:basedOn w:val="Normal"/>
    <w:next w:val="Normal"/>
    <w:link w:val="Heading9Char"/>
    <w:qFormat/>
    <w:rsid w:val="00024F97"/>
    <w:pPr>
      <w:ind w:left="720"/>
      <w:outlineLvl w:val="8"/>
    </w:pPr>
    <w:rPr>
      <w:i/>
    </w:rPr>
  </w:style>
  <w:style w:type="character" w:default="1" w:styleId="DefaultParagraphFont">
    <w:name w:val="Default Paragraph Font"/>
    <w:uiPriority w:val="1"/>
    <w:unhideWhenUsed/>
    <w:rsid w:val="00024F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4F97"/>
  </w:style>
  <w:style w:type="character" w:customStyle="1" w:styleId="Heading1Char">
    <w:name w:val="Heading 1 Char"/>
    <w:basedOn w:val="DefaultParagraphFont"/>
    <w:link w:val="Heading1"/>
    <w:rsid w:val="00024F97"/>
    <w:rPr>
      <w:rFonts w:ascii="Times New Roman" w:eastAsia="Times New Roman" w:hAnsi="Times New Roman" w:cs="Times New Roman"/>
      <w:b/>
      <w:sz w:val="32"/>
      <w:szCs w:val="20"/>
      <w:lang w:eastAsia="en-US"/>
    </w:rPr>
  </w:style>
  <w:style w:type="paragraph" w:styleId="BodyText">
    <w:name w:val="Body Text"/>
    <w:basedOn w:val="Normal"/>
    <w:link w:val="BodyTextChar"/>
    <w:rsid w:val="00024F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4F97"/>
    <w:rPr>
      <w:rFonts w:ascii="Times New Roman" w:eastAsia="Times New Roman" w:hAnsi="Times New Roman" w:cs="Times New Roman"/>
      <w:sz w:val="24"/>
      <w:lang w:eastAsia="en-US"/>
    </w:rPr>
  </w:style>
  <w:style w:type="paragraph" w:styleId="ListBullet">
    <w:name w:val="List Bullet"/>
    <w:basedOn w:val="List"/>
    <w:rsid w:val="00024F97"/>
    <w:pPr>
      <w:numPr>
        <w:numId w:val="11"/>
      </w:numPr>
      <w:tabs>
        <w:tab w:val="clear" w:pos="340"/>
      </w:tabs>
      <w:spacing w:before="40" w:after="40"/>
    </w:pPr>
  </w:style>
  <w:style w:type="character" w:customStyle="1" w:styleId="SpecialBold">
    <w:name w:val="Special Bold"/>
    <w:basedOn w:val="DefaultParagraphFont"/>
    <w:rsid w:val="00024F97"/>
    <w:rPr>
      <w:b/>
      <w:spacing w:val="0"/>
    </w:rPr>
  </w:style>
  <w:style w:type="paragraph" w:customStyle="1" w:styleId="SuperHeading">
    <w:name w:val="SuperHeading"/>
    <w:basedOn w:val="Normal"/>
    <w:rsid w:val="00024F97"/>
    <w:pPr>
      <w:spacing w:before="240" w:after="120"/>
      <w:outlineLvl w:val="0"/>
    </w:pPr>
    <w:rPr>
      <w:rFonts w:ascii="Times New Roman" w:hAnsi="Times New Roman"/>
      <w:b/>
      <w:sz w:val="32"/>
    </w:rPr>
  </w:style>
  <w:style w:type="paragraph" w:customStyle="1" w:styleId="AllowPageBreak">
    <w:name w:val="AllowPageBreak"/>
    <w:rsid w:val="00024F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4F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4F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4F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4F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4F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4F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4F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4F97"/>
    <w:rPr>
      <w:rFonts w:ascii="Courier New" w:eastAsia="Times New Roman" w:hAnsi="Courier New" w:cs="Times New Roman"/>
      <w:i/>
      <w:szCs w:val="20"/>
      <w:lang w:eastAsia="en-US"/>
    </w:rPr>
  </w:style>
  <w:style w:type="paragraph" w:customStyle="1" w:styleId="HeadingBase">
    <w:name w:val="Heading Base"/>
    <w:rsid w:val="00024F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4F97"/>
    <w:pPr>
      <w:tabs>
        <w:tab w:val="right" w:leader="dot" w:pos="9072"/>
      </w:tabs>
      <w:ind w:left="567"/>
    </w:pPr>
    <w:rPr>
      <w:szCs w:val="22"/>
    </w:rPr>
  </w:style>
  <w:style w:type="paragraph" w:customStyle="1" w:styleId="TOCBase">
    <w:name w:val="TOC Base"/>
    <w:rsid w:val="00024F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4F97"/>
    <w:pPr>
      <w:tabs>
        <w:tab w:val="right" w:leader="dot" w:pos="9072"/>
      </w:tabs>
      <w:spacing w:before="40" w:after="40"/>
      <w:ind w:left="284"/>
    </w:pPr>
    <w:rPr>
      <w:rFonts w:ascii="Times New Roman" w:hAnsi="Times New Roman"/>
    </w:rPr>
  </w:style>
  <w:style w:type="paragraph" w:styleId="TOC1">
    <w:name w:val="toc 1"/>
    <w:basedOn w:val="TOCBase"/>
    <w:next w:val="Normal"/>
    <w:rsid w:val="00024F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4F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4F97"/>
    <w:rPr>
      <w:rFonts w:ascii="Times New Roman" w:eastAsia="Times New Roman" w:hAnsi="Times New Roman" w:cs="Times New Roman"/>
      <w:sz w:val="16"/>
      <w:lang w:eastAsia="en-US"/>
    </w:rPr>
  </w:style>
  <w:style w:type="paragraph" w:styleId="Title">
    <w:name w:val="Title"/>
    <w:basedOn w:val="HeadingBase"/>
    <w:link w:val="TitleChar"/>
    <w:qFormat/>
    <w:rsid w:val="00024F97"/>
    <w:pPr>
      <w:spacing w:before="5040"/>
      <w:jc w:val="center"/>
    </w:pPr>
    <w:rPr>
      <w:sz w:val="48"/>
      <w:szCs w:val="72"/>
      <w:lang w:val="en-US"/>
    </w:rPr>
  </w:style>
  <w:style w:type="character" w:customStyle="1" w:styleId="TitleChar">
    <w:name w:val="Title Char"/>
    <w:basedOn w:val="DefaultParagraphFont"/>
    <w:link w:val="Title"/>
    <w:rsid w:val="00024F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4F97"/>
    <w:pPr>
      <w:tabs>
        <w:tab w:val="left" w:pos="3600"/>
        <w:tab w:val="left" w:pos="3958"/>
      </w:tabs>
    </w:pPr>
  </w:style>
  <w:style w:type="paragraph" w:styleId="List">
    <w:name w:val="List"/>
    <w:basedOn w:val="BodyText"/>
    <w:next w:val="BodyText"/>
    <w:rsid w:val="00024F97"/>
    <w:pPr>
      <w:tabs>
        <w:tab w:val="left" w:pos="340"/>
      </w:tabs>
      <w:spacing w:before="60" w:after="60"/>
      <w:ind w:left="340" w:hanging="340"/>
    </w:pPr>
  </w:style>
  <w:style w:type="paragraph" w:customStyle="1" w:styleId="Note">
    <w:name w:val="Note"/>
    <w:basedOn w:val="BodyText"/>
    <w:rsid w:val="00024F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4F97"/>
    <w:pPr>
      <w:framePr w:wrap="auto" w:hAnchor="text" w:y="6049"/>
    </w:pPr>
    <w:rPr>
      <w:color w:val="000000"/>
      <w:sz w:val="40"/>
    </w:rPr>
  </w:style>
  <w:style w:type="paragraph" w:customStyle="1" w:styleId="TOCTitle">
    <w:name w:val="TOCTitle"/>
    <w:basedOn w:val="Heading1"/>
    <w:rsid w:val="00024F97"/>
    <w:pPr>
      <w:spacing w:after="240"/>
      <w:jc w:val="center"/>
      <w:outlineLvl w:val="9"/>
    </w:pPr>
    <w:rPr>
      <w:caps/>
    </w:rPr>
  </w:style>
  <w:style w:type="paragraph" w:customStyle="1" w:styleId="Version">
    <w:name w:val="Version"/>
    <w:rsid w:val="00024F9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24F97"/>
    <w:pPr>
      <w:numPr>
        <w:numId w:val="12"/>
      </w:numPr>
      <w:tabs>
        <w:tab w:val="clear" w:pos="680"/>
      </w:tabs>
    </w:pPr>
  </w:style>
  <w:style w:type="paragraph" w:styleId="Index1">
    <w:name w:val="index 1"/>
    <w:basedOn w:val="Normal"/>
    <w:next w:val="Normal"/>
    <w:semiHidden/>
    <w:rsid w:val="00024F97"/>
    <w:pPr>
      <w:keepNext w:val="0"/>
      <w:tabs>
        <w:tab w:val="right" w:pos="4176"/>
      </w:tabs>
      <w:ind w:left="198" w:hanging="198"/>
    </w:pPr>
    <w:rPr>
      <w:rFonts w:ascii="Garamond" w:hAnsi="Garamond"/>
    </w:rPr>
  </w:style>
  <w:style w:type="paragraph" w:styleId="IndexHeading">
    <w:name w:val="index heading"/>
    <w:basedOn w:val="Normal"/>
    <w:next w:val="Index1"/>
    <w:semiHidden/>
    <w:rsid w:val="00024F97"/>
    <w:pPr>
      <w:spacing w:before="120" w:after="120"/>
    </w:pPr>
    <w:rPr>
      <w:rFonts w:ascii="Arial" w:hAnsi="Arial"/>
      <w:b/>
      <w:color w:val="918585"/>
      <w:sz w:val="24"/>
    </w:rPr>
  </w:style>
  <w:style w:type="paragraph" w:styleId="Header">
    <w:name w:val="header"/>
    <w:basedOn w:val="Normal"/>
    <w:link w:val="HeaderChar"/>
    <w:rsid w:val="00024F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4F97"/>
    <w:rPr>
      <w:rFonts w:ascii="Times New Roman" w:eastAsia="Times New Roman" w:hAnsi="Times New Roman" w:cs="Times New Roman"/>
      <w:sz w:val="16"/>
      <w:szCs w:val="20"/>
      <w:lang w:val="en-GB" w:eastAsia="en-US"/>
    </w:rPr>
  </w:style>
  <w:style w:type="paragraph" w:customStyle="1" w:styleId="Chapter">
    <w:name w:val="Chapter"/>
    <w:basedOn w:val="Normal"/>
    <w:rsid w:val="00024F97"/>
    <w:pPr>
      <w:spacing w:before="240"/>
    </w:pPr>
    <w:rPr>
      <w:rFonts w:ascii="Times New Roman" w:hAnsi="Times New Roman"/>
      <w:smallCaps/>
      <w:spacing w:val="80"/>
      <w:sz w:val="28"/>
    </w:rPr>
  </w:style>
  <w:style w:type="paragraph" w:customStyle="1" w:styleId="InChapter">
    <w:name w:val="InChapter"/>
    <w:basedOn w:val="Heading3"/>
    <w:rsid w:val="00024F97"/>
    <w:pPr>
      <w:spacing w:after="240"/>
      <w:outlineLvl w:val="9"/>
    </w:pPr>
    <w:rPr>
      <w:noProof/>
    </w:rPr>
  </w:style>
  <w:style w:type="paragraph" w:styleId="Index2">
    <w:name w:val="index 2"/>
    <w:basedOn w:val="Normal"/>
    <w:next w:val="Normal"/>
    <w:semiHidden/>
    <w:rsid w:val="00024F97"/>
    <w:pPr>
      <w:tabs>
        <w:tab w:val="right" w:pos="4176"/>
      </w:tabs>
      <w:ind w:left="568" w:hanging="284"/>
    </w:pPr>
    <w:rPr>
      <w:rFonts w:ascii="Garamond" w:hAnsi="Garamond"/>
    </w:rPr>
  </w:style>
  <w:style w:type="paragraph" w:customStyle="1" w:styleId="Byline">
    <w:name w:val="Byline"/>
    <w:rsid w:val="00024F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4F97"/>
    <w:pPr>
      <w:tabs>
        <w:tab w:val="clear" w:pos="3600"/>
        <w:tab w:val="clear" w:pos="3958"/>
      </w:tabs>
      <w:jc w:val="right"/>
    </w:pPr>
  </w:style>
  <w:style w:type="character" w:styleId="Emphasis">
    <w:name w:val="Emphasis"/>
    <w:basedOn w:val="DefaultParagraphFont"/>
    <w:qFormat/>
    <w:rsid w:val="00024F97"/>
    <w:rPr>
      <w:i/>
    </w:rPr>
  </w:style>
  <w:style w:type="paragraph" w:styleId="Caption">
    <w:name w:val="caption"/>
    <w:basedOn w:val="BodyText"/>
    <w:next w:val="Normal"/>
    <w:qFormat/>
    <w:rsid w:val="00024F97"/>
    <w:pPr>
      <w:framePr w:w="2268" w:hSpace="181" w:vSpace="181" w:wrap="around" w:vAnchor="text" w:hAnchor="page" w:x="1135" w:y="285" w:anchorLock="1"/>
    </w:pPr>
    <w:rPr>
      <w:i/>
    </w:rPr>
  </w:style>
  <w:style w:type="paragraph" w:customStyle="1" w:styleId="MiniTOCTitle">
    <w:name w:val="MiniTOCTitle"/>
    <w:basedOn w:val="Heading4"/>
    <w:rsid w:val="00024F97"/>
    <w:pPr>
      <w:spacing w:before="240"/>
      <w:outlineLvl w:val="9"/>
    </w:pPr>
    <w:rPr>
      <w:noProof/>
      <w:sz w:val="24"/>
    </w:rPr>
  </w:style>
  <w:style w:type="paragraph" w:customStyle="1" w:styleId="MiniTOCItem">
    <w:name w:val="MiniTOCItem"/>
    <w:basedOn w:val="ListBullet"/>
    <w:rsid w:val="00024F97"/>
    <w:pPr>
      <w:numPr>
        <w:numId w:val="0"/>
      </w:numPr>
      <w:tabs>
        <w:tab w:val="right" w:leader="dot" w:pos="6521"/>
      </w:tabs>
      <w:spacing w:before="0" w:after="0"/>
    </w:pPr>
  </w:style>
  <w:style w:type="paragraph" w:customStyle="1" w:styleId="TOFTitle">
    <w:name w:val="TOFTitle"/>
    <w:basedOn w:val="TOCTitle"/>
    <w:rsid w:val="00024F97"/>
  </w:style>
  <w:style w:type="paragraph" w:styleId="TableofFigures">
    <w:name w:val="table of figures"/>
    <w:basedOn w:val="Normal"/>
    <w:next w:val="Normal"/>
    <w:semiHidden/>
    <w:rsid w:val="00024F97"/>
    <w:pPr>
      <w:tabs>
        <w:tab w:val="right" w:leader="dot" w:pos="9072"/>
      </w:tabs>
      <w:ind w:left="970" w:hanging="403"/>
    </w:pPr>
    <w:rPr>
      <w:rFonts w:ascii="Times New Roman" w:hAnsi="Times New Roman"/>
      <w:b/>
    </w:rPr>
  </w:style>
  <w:style w:type="paragraph" w:styleId="ListNumber">
    <w:name w:val="List Number"/>
    <w:basedOn w:val="List"/>
    <w:rsid w:val="00024F97"/>
    <w:pPr>
      <w:numPr>
        <w:numId w:val="14"/>
      </w:numPr>
      <w:tabs>
        <w:tab w:val="clear" w:pos="340"/>
      </w:tabs>
    </w:pPr>
  </w:style>
  <w:style w:type="character" w:customStyle="1" w:styleId="WingdingSymbols">
    <w:name w:val="Wingding Symbols"/>
    <w:rsid w:val="00024F97"/>
    <w:rPr>
      <w:rFonts w:ascii="Wingdings" w:hAnsi="Wingdings"/>
    </w:rPr>
  </w:style>
  <w:style w:type="paragraph" w:customStyle="1" w:styleId="TableHeading">
    <w:name w:val="Table Heading"/>
    <w:basedOn w:val="HeadingBase"/>
    <w:rsid w:val="00024F97"/>
    <w:pPr>
      <w:keepLines/>
      <w:pBdr>
        <w:bottom w:val="single" w:sz="6" w:space="1" w:color="918585"/>
      </w:pBdr>
      <w:spacing w:before="240"/>
    </w:pPr>
  </w:style>
  <w:style w:type="character" w:customStyle="1" w:styleId="HotSpot">
    <w:name w:val="HotSpot"/>
    <w:rsid w:val="00024F97"/>
    <w:rPr>
      <w:color w:val="0033CC"/>
      <w:u w:val="none"/>
    </w:rPr>
  </w:style>
  <w:style w:type="paragraph" w:customStyle="1" w:styleId="BodyTextRight">
    <w:name w:val="Body Text Right"/>
    <w:basedOn w:val="BodyText"/>
    <w:rsid w:val="00024F97"/>
    <w:pPr>
      <w:spacing w:before="0" w:after="0"/>
      <w:jc w:val="right"/>
    </w:pPr>
  </w:style>
  <w:style w:type="paragraph" w:styleId="Index3">
    <w:name w:val="index 3"/>
    <w:basedOn w:val="ListNumber2"/>
    <w:next w:val="Normal"/>
    <w:semiHidden/>
    <w:rsid w:val="00024F97"/>
    <w:pPr>
      <w:numPr>
        <w:numId w:val="0"/>
      </w:numPr>
      <w:tabs>
        <w:tab w:val="right" w:leader="dot" w:pos="4176"/>
      </w:tabs>
    </w:pPr>
  </w:style>
  <w:style w:type="paragraph" w:styleId="ListNumber2">
    <w:name w:val="List Number 2"/>
    <w:basedOn w:val="List2"/>
    <w:rsid w:val="00024F97"/>
    <w:pPr>
      <w:numPr>
        <w:numId w:val="9"/>
      </w:numPr>
      <w:tabs>
        <w:tab w:val="clear" w:pos="1060"/>
      </w:tabs>
    </w:pPr>
  </w:style>
  <w:style w:type="paragraph" w:customStyle="1" w:styleId="MarginNote">
    <w:name w:val="Margin Note"/>
    <w:basedOn w:val="BodyText"/>
    <w:rsid w:val="00024F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4F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4F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4F97"/>
    <w:rPr>
      <w:sz w:val="32"/>
    </w:rPr>
  </w:style>
  <w:style w:type="paragraph" w:customStyle="1" w:styleId="HeadingProcedure">
    <w:name w:val="Heading Procedure"/>
    <w:basedOn w:val="HeadingBase"/>
    <w:next w:val="Normal"/>
    <w:rsid w:val="00024F97"/>
    <w:pPr>
      <w:tabs>
        <w:tab w:val="left" w:pos="0"/>
      </w:tabs>
      <w:spacing w:before="120" w:after="60"/>
    </w:pPr>
    <w:rPr>
      <w:i/>
      <w:color w:val="918585"/>
      <w:sz w:val="22"/>
    </w:rPr>
  </w:style>
  <w:style w:type="paragraph" w:customStyle="1" w:styleId="TableBodyText">
    <w:name w:val="Table Body Text"/>
    <w:basedOn w:val="BodyText"/>
    <w:rsid w:val="00024F97"/>
    <w:pPr>
      <w:spacing w:before="60" w:after="60"/>
    </w:pPr>
  </w:style>
  <w:style w:type="paragraph" w:styleId="ListContinue">
    <w:name w:val="List Continue"/>
    <w:basedOn w:val="List"/>
    <w:rsid w:val="00024F97"/>
    <w:pPr>
      <w:ind w:firstLine="0"/>
    </w:pPr>
  </w:style>
  <w:style w:type="paragraph" w:customStyle="1" w:styleId="ListNote">
    <w:name w:val="List Note"/>
    <w:basedOn w:val="List"/>
    <w:rsid w:val="00024F97"/>
    <w:pPr>
      <w:pBdr>
        <w:top w:val="single" w:sz="6" w:space="2" w:color="918585"/>
        <w:bottom w:val="single" w:sz="6" w:space="2" w:color="918585"/>
      </w:pBdr>
      <w:tabs>
        <w:tab w:val="left" w:pos="1021"/>
      </w:tabs>
      <w:ind w:firstLine="0"/>
    </w:pPr>
  </w:style>
  <w:style w:type="paragraph" w:customStyle="1" w:styleId="Warning">
    <w:name w:val="Warning"/>
    <w:basedOn w:val="BodyText"/>
    <w:rsid w:val="00024F97"/>
    <w:pPr>
      <w:shd w:val="clear" w:color="auto" w:fill="D9D9D9"/>
      <w:tabs>
        <w:tab w:val="left" w:pos="992"/>
      </w:tabs>
      <w:ind w:left="119" w:right="119"/>
    </w:pPr>
    <w:rPr>
      <w:sz w:val="20"/>
    </w:rPr>
  </w:style>
  <w:style w:type="paragraph" w:customStyle="1" w:styleId="MarginIcons">
    <w:name w:val="Margin Icons"/>
    <w:basedOn w:val="BodyText"/>
    <w:rsid w:val="00024F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4F97"/>
    <w:rPr>
      <w:rFonts w:ascii="Courier New" w:hAnsi="Courier New"/>
    </w:rPr>
  </w:style>
  <w:style w:type="paragraph" w:customStyle="1" w:styleId="NoteBullet">
    <w:name w:val="Note Bullet"/>
    <w:basedOn w:val="Note"/>
    <w:rsid w:val="00024F97"/>
    <w:pPr>
      <w:tabs>
        <w:tab w:val="clear" w:pos="680"/>
      </w:tabs>
      <w:spacing w:before="60" w:after="60"/>
    </w:pPr>
  </w:style>
  <w:style w:type="paragraph" w:customStyle="1" w:styleId="SubHeading2">
    <w:name w:val="SubHeading2"/>
    <w:basedOn w:val="HeadingBase"/>
    <w:rsid w:val="00024F97"/>
    <w:pPr>
      <w:spacing w:before="240" w:after="60"/>
    </w:pPr>
    <w:rPr>
      <w:sz w:val="20"/>
    </w:rPr>
  </w:style>
  <w:style w:type="paragraph" w:customStyle="1" w:styleId="SubHeading1">
    <w:name w:val="SubHeading1"/>
    <w:basedOn w:val="HeadingBase"/>
    <w:rsid w:val="00024F97"/>
    <w:pPr>
      <w:spacing w:before="240" w:after="60"/>
    </w:pPr>
    <w:rPr>
      <w:color w:val="918585"/>
      <w:sz w:val="22"/>
    </w:rPr>
  </w:style>
  <w:style w:type="paragraph" w:customStyle="1" w:styleId="SideHeading">
    <w:name w:val="Side Heading"/>
    <w:basedOn w:val="HeadingBase"/>
    <w:rsid w:val="00024F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4F97"/>
    <w:pPr>
      <w:numPr>
        <w:numId w:val="10"/>
      </w:numPr>
    </w:pPr>
  </w:style>
  <w:style w:type="paragraph" w:styleId="PlainText">
    <w:name w:val="Plain Text"/>
    <w:basedOn w:val="Normal"/>
    <w:link w:val="PlainTextChar"/>
    <w:rsid w:val="00024F97"/>
    <w:rPr>
      <w:sz w:val="20"/>
    </w:rPr>
  </w:style>
  <w:style w:type="character" w:customStyle="1" w:styleId="PlainTextChar">
    <w:name w:val="Plain Text Char"/>
    <w:basedOn w:val="DefaultParagraphFont"/>
    <w:link w:val="PlainText"/>
    <w:rsid w:val="00024F97"/>
    <w:rPr>
      <w:rFonts w:ascii="Courier New" w:eastAsia="Times New Roman" w:hAnsi="Courier New" w:cs="Times New Roman"/>
      <w:sz w:val="20"/>
      <w:szCs w:val="20"/>
      <w:lang w:eastAsia="en-US"/>
    </w:rPr>
  </w:style>
  <w:style w:type="character" w:customStyle="1" w:styleId="MenuOption">
    <w:name w:val="Menu Option"/>
    <w:basedOn w:val="DefaultParagraphFont"/>
    <w:rsid w:val="00024F97"/>
    <w:rPr>
      <w:b/>
      <w:smallCaps/>
    </w:rPr>
  </w:style>
  <w:style w:type="paragraph" w:customStyle="1" w:styleId="TableListNumber">
    <w:name w:val="Table List Number"/>
    <w:basedOn w:val="ListNumber"/>
    <w:rsid w:val="00024F97"/>
    <w:pPr>
      <w:numPr>
        <w:numId w:val="0"/>
      </w:numPr>
    </w:pPr>
  </w:style>
  <w:style w:type="paragraph" w:styleId="TOC4">
    <w:name w:val="toc 4"/>
    <w:basedOn w:val="TOCBase"/>
    <w:next w:val="Normal"/>
    <w:semiHidden/>
    <w:rsid w:val="00024F97"/>
    <w:pPr>
      <w:tabs>
        <w:tab w:val="right" w:leader="dot" w:pos="9071"/>
      </w:tabs>
      <w:ind w:left="1701"/>
    </w:pPr>
  </w:style>
  <w:style w:type="paragraph" w:customStyle="1" w:styleId="ListAlpha">
    <w:name w:val="List Alpha"/>
    <w:basedOn w:val="List"/>
    <w:rsid w:val="00024F97"/>
    <w:pPr>
      <w:numPr>
        <w:numId w:val="8"/>
      </w:numPr>
    </w:pPr>
  </w:style>
  <w:style w:type="paragraph" w:customStyle="1" w:styleId="ListAlpha2">
    <w:name w:val="List Alpha 2"/>
    <w:basedOn w:val="List2"/>
    <w:rsid w:val="00024F97"/>
    <w:pPr>
      <w:numPr>
        <w:numId w:val="7"/>
      </w:numPr>
    </w:pPr>
  </w:style>
  <w:style w:type="paragraph" w:styleId="List2">
    <w:name w:val="List 2"/>
    <w:basedOn w:val="BodyText"/>
    <w:rsid w:val="00024F97"/>
    <w:pPr>
      <w:tabs>
        <w:tab w:val="left" w:pos="680"/>
      </w:tabs>
      <w:spacing w:before="60" w:after="60"/>
      <w:ind w:left="680" w:hanging="340"/>
    </w:pPr>
  </w:style>
  <w:style w:type="paragraph" w:styleId="List3">
    <w:name w:val="List 3"/>
    <w:basedOn w:val="BodyText"/>
    <w:rsid w:val="00024F97"/>
    <w:pPr>
      <w:tabs>
        <w:tab w:val="left" w:pos="1021"/>
      </w:tabs>
      <w:spacing w:before="60" w:after="60"/>
      <w:ind w:left="1020" w:hanging="340"/>
    </w:pPr>
  </w:style>
  <w:style w:type="paragraph" w:styleId="List4">
    <w:name w:val="List 4"/>
    <w:basedOn w:val="BodyText"/>
    <w:rsid w:val="00024F97"/>
    <w:pPr>
      <w:tabs>
        <w:tab w:val="left" w:pos="1361"/>
      </w:tabs>
      <w:spacing w:before="60" w:after="60"/>
      <w:ind w:left="1361" w:hanging="340"/>
    </w:pPr>
  </w:style>
  <w:style w:type="paragraph" w:styleId="List5">
    <w:name w:val="List 5"/>
    <w:basedOn w:val="BodyText"/>
    <w:rsid w:val="00024F97"/>
    <w:pPr>
      <w:tabs>
        <w:tab w:val="left" w:pos="1701"/>
      </w:tabs>
      <w:spacing w:before="60" w:after="60"/>
      <w:ind w:left="1701" w:hanging="340"/>
    </w:pPr>
  </w:style>
  <w:style w:type="paragraph" w:styleId="ListBullet3">
    <w:name w:val="List Bullet 3"/>
    <w:basedOn w:val="List3"/>
    <w:rsid w:val="00024F97"/>
    <w:pPr>
      <w:numPr>
        <w:numId w:val="13"/>
      </w:numPr>
      <w:tabs>
        <w:tab w:val="clear" w:pos="1021"/>
      </w:tabs>
      <w:ind w:left="1037" w:hanging="357"/>
    </w:pPr>
  </w:style>
  <w:style w:type="paragraph" w:styleId="ListBullet4">
    <w:name w:val="List Bullet 4"/>
    <w:basedOn w:val="List4"/>
    <w:rsid w:val="00024F97"/>
    <w:pPr>
      <w:numPr>
        <w:numId w:val="2"/>
      </w:numPr>
      <w:tabs>
        <w:tab w:val="clear" w:pos="1361"/>
      </w:tabs>
    </w:pPr>
  </w:style>
  <w:style w:type="paragraph" w:styleId="ListBullet5">
    <w:name w:val="List Bullet 5"/>
    <w:basedOn w:val="List5"/>
    <w:rsid w:val="00024F97"/>
    <w:pPr>
      <w:numPr>
        <w:numId w:val="3"/>
      </w:numPr>
    </w:pPr>
  </w:style>
  <w:style w:type="paragraph" w:styleId="ListContinue2">
    <w:name w:val="List Continue 2"/>
    <w:basedOn w:val="List2"/>
    <w:rsid w:val="00024F97"/>
    <w:pPr>
      <w:ind w:firstLine="0"/>
    </w:pPr>
  </w:style>
  <w:style w:type="paragraph" w:styleId="ListContinue3">
    <w:name w:val="List Continue 3"/>
    <w:basedOn w:val="List3"/>
    <w:rsid w:val="00024F97"/>
    <w:pPr>
      <w:ind w:left="1021" w:firstLine="0"/>
    </w:pPr>
  </w:style>
  <w:style w:type="paragraph" w:styleId="ListContinue4">
    <w:name w:val="List Continue 4"/>
    <w:basedOn w:val="List4"/>
    <w:rsid w:val="00024F97"/>
    <w:pPr>
      <w:ind w:firstLine="0"/>
    </w:pPr>
  </w:style>
  <w:style w:type="paragraph" w:styleId="ListContinue5">
    <w:name w:val="List Continue 5"/>
    <w:basedOn w:val="List5"/>
    <w:rsid w:val="00024F97"/>
    <w:pPr>
      <w:ind w:firstLine="0"/>
    </w:pPr>
  </w:style>
  <w:style w:type="paragraph" w:styleId="ListNumber3">
    <w:name w:val="List Number 3"/>
    <w:basedOn w:val="List3"/>
    <w:rsid w:val="00024F97"/>
    <w:pPr>
      <w:numPr>
        <w:numId w:val="4"/>
      </w:numPr>
    </w:pPr>
  </w:style>
  <w:style w:type="paragraph" w:styleId="ListNumber4">
    <w:name w:val="List Number 4"/>
    <w:basedOn w:val="List4"/>
    <w:rsid w:val="00024F97"/>
    <w:pPr>
      <w:numPr>
        <w:numId w:val="5"/>
      </w:numPr>
    </w:pPr>
  </w:style>
  <w:style w:type="paragraph" w:styleId="ListNumber5">
    <w:name w:val="List Number 5"/>
    <w:basedOn w:val="List5"/>
    <w:rsid w:val="00024F97"/>
    <w:pPr>
      <w:numPr>
        <w:numId w:val="6"/>
      </w:numPr>
    </w:pPr>
  </w:style>
  <w:style w:type="paragraph" w:styleId="BlockText">
    <w:name w:val="Block Text"/>
    <w:basedOn w:val="Normal"/>
    <w:rsid w:val="00024F97"/>
    <w:pPr>
      <w:spacing w:after="120"/>
      <w:ind w:left="1440" w:right="1440"/>
    </w:pPr>
  </w:style>
  <w:style w:type="character" w:customStyle="1" w:styleId="Subscript">
    <w:name w:val="Subscript"/>
    <w:basedOn w:val="DefaultParagraphFont"/>
    <w:rsid w:val="00024F97"/>
    <w:rPr>
      <w:sz w:val="16"/>
      <w:vertAlign w:val="subscript"/>
    </w:rPr>
  </w:style>
  <w:style w:type="character" w:customStyle="1" w:styleId="Superscript">
    <w:name w:val="Superscript"/>
    <w:basedOn w:val="DefaultParagraphFont"/>
    <w:rsid w:val="00024F97"/>
    <w:rPr>
      <w:sz w:val="16"/>
      <w:vertAlign w:val="superscript"/>
    </w:rPr>
  </w:style>
  <w:style w:type="character" w:customStyle="1" w:styleId="Symbols">
    <w:name w:val="Symbols"/>
    <w:basedOn w:val="DefaultParagraphFont"/>
    <w:rsid w:val="00024F97"/>
    <w:rPr>
      <w:rFonts w:ascii="Symbol" w:hAnsi="Symbol"/>
    </w:rPr>
  </w:style>
  <w:style w:type="character" w:customStyle="1" w:styleId="MenuOptions">
    <w:name w:val="Menu Options"/>
    <w:basedOn w:val="DefaultParagraphFont"/>
    <w:rsid w:val="00024F97"/>
    <w:rPr>
      <w:rFonts w:ascii="Arial Narrow" w:hAnsi="Arial Narrow"/>
      <w:smallCaps/>
    </w:rPr>
  </w:style>
  <w:style w:type="character" w:customStyle="1" w:styleId="Buttons">
    <w:name w:val="Buttons"/>
    <w:basedOn w:val="DefaultParagraphFont"/>
    <w:rsid w:val="00024F97"/>
    <w:rPr>
      <w:b/>
    </w:rPr>
  </w:style>
  <w:style w:type="character" w:customStyle="1" w:styleId="Underlined">
    <w:name w:val="Underlined"/>
    <w:basedOn w:val="DefaultParagraphFont"/>
    <w:rsid w:val="00024F97"/>
    <w:rPr>
      <w:u w:val="single"/>
    </w:rPr>
  </w:style>
  <w:style w:type="paragraph" w:customStyle="1" w:styleId="TableBodyTextRight">
    <w:name w:val="Table Body Text Right"/>
    <w:basedOn w:val="TableBodyText"/>
    <w:rsid w:val="00024F97"/>
    <w:pPr>
      <w:widowControl w:val="0"/>
      <w:autoSpaceDE w:val="0"/>
      <w:autoSpaceDN w:val="0"/>
      <w:adjustRightInd w:val="0"/>
      <w:jc w:val="right"/>
    </w:pPr>
    <w:rPr>
      <w:rFonts w:cs="Arial"/>
      <w:szCs w:val="18"/>
    </w:rPr>
  </w:style>
  <w:style w:type="paragraph" w:customStyle="1" w:styleId="CopyrightText">
    <w:name w:val="Copyright Text"/>
    <w:basedOn w:val="BodyText"/>
    <w:rsid w:val="00024F97"/>
    <w:rPr>
      <w:sz w:val="18"/>
    </w:rPr>
  </w:style>
  <w:style w:type="paragraph" w:customStyle="1" w:styleId="BodySmallRight">
    <w:name w:val="Body Small Right"/>
    <w:basedOn w:val="BodyTextRight"/>
    <w:rsid w:val="00024F97"/>
    <w:rPr>
      <w:sz w:val="18"/>
      <w:szCs w:val="18"/>
    </w:rPr>
  </w:style>
  <w:style w:type="paragraph" w:customStyle="1" w:styleId="MarginEdition">
    <w:name w:val="Margin Edition"/>
    <w:basedOn w:val="MarginNote"/>
    <w:rsid w:val="00024F97"/>
    <w:pPr>
      <w:spacing w:before="0" w:after="0"/>
    </w:pPr>
    <w:rPr>
      <w:rFonts w:ascii="Times New Roman" w:hAnsi="Times New Roman"/>
      <w:color w:val="999999"/>
    </w:rPr>
  </w:style>
  <w:style w:type="paragraph" w:customStyle="1" w:styleId="Spacer">
    <w:name w:val="Spacer"/>
    <w:basedOn w:val="Normal"/>
    <w:rsid w:val="00024F97"/>
    <w:rPr>
      <w:sz w:val="2"/>
      <w:szCs w:val="2"/>
    </w:rPr>
  </w:style>
  <w:style w:type="character" w:customStyle="1" w:styleId="Small">
    <w:name w:val="Small"/>
    <w:basedOn w:val="DefaultParagraphFont"/>
    <w:rsid w:val="00024F97"/>
    <w:rPr>
      <w:sz w:val="16"/>
    </w:rPr>
  </w:style>
  <w:style w:type="paragraph" w:customStyle="1" w:styleId="WideTable">
    <w:name w:val="Wide Table"/>
    <w:basedOn w:val="Normal"/>
    <w:rsid w:val="00024F97"/>
    <w:pPr>
      <w:ind w:left="-1418"/>
    </w:pPr>
    <w:rPr>
      <w:sz w:val="2"/>
      <w:szCs w:val="2"/>
    </w:rPr>
  </w:style>
  <w:style w:type="character" w:styleId="PageNumber">
    <w:name w:val="page number"/>
    <w:basedOn w:val="DefaultParagraphFont"/>
    <w:rsid w:val="00024F97"/>
  </w:style>
  <w:style w:type="paragraph" w:styleId="Quote">
    <w:name w:val="Quote"/>
    <w:basedOn w:val="Heading1"/>
    <w:link w:val="QuoteChar"/>
    <w:qFormat/>
    <w:rsid w:val="00024F97"/>
    <w:rPr>
      <w:b w:val="0"/>
      <w:sz w:val="72"/>
      <w:szCs w:val="72"/>
      <w:lang w:val="en-NZ"/>
    </w:rPr>
  </w:style>
  <w:style w:type="character" w:customStyle="1" w:styleId="QuoteChar">
    <w:name w:val="Quote Char"/>
    <w:basedOn w:val="DefaultParagraphFont"/>
    <w:link w:val="Quote"/>
    <w:rsid w:val="00024F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4F97"/>
    <w:pPr>
      <w:pageBreakBefore/>
    </w:pPr>
  </w:style>
  <w:style w:type="paragraph" w:customStyle="1" w:styleId="Border">
    <w:name w:val="Border"/>
    <w:basedOn w:val="Normal"/>
    <w:qFormat/>
    <w:rsid w:val="00024F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4F97"/>
    <w:rPr>
      <w:b/>
      <w:bCs/>
      <w:i/>
      <w:iCs/>
      <w:color w:val="auto"/>
    </w:rPr>
  </w:style>
  <w:style w:type="paragraph" w:styleId="IntenseQuote">
    <w:name w:val="Intense Quote"/>
    <w:basedOn w:val="Normal"/>
    <w:next w:val="Normal"/>
    <w:link w:val="IntenseQuoteChar"/>
    <w:uiPriority w:val="30"/>
    <w:qFormat/>
    <w:rsid w:val="00024F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4F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4F97"/>
    <w:rPr>
      <w:smallCaps/>
      <w:color w:val="auto"/>
      <w:u w:val="single"/>
    </w:rPr>
  </w:style>
  <w:style w:type="character" w:styleId="IntenseReference">
    <w:name w:val="Intense Reference"/>
    <w:basedOn w:val="DefaultParagraphFont"/>
    <w:uiPriority w:val="32"/>
    <w:qFormat/>
    <w:rsid w:val="00024F97"/>
    <w:rPr>
      <w:b/>
      <w:bCs/>
      <w:smallCaps/>
      <w:color w:val="auto"/>
      <w:spacing w:val="5"/>
      <w:u w:val="single"/>
    </w:rPr>
  </w:style>
  <w:style w:type="paragraph" w:customStyle="1" w:styleId="2ColumnHeading">
    <w:name w:val="2Column Heading"/>
    <w:basedOn w:val="BodyText"/>
    <w:qFormat/>
    <w:rsid w:val="00024F97"/>
    <w:pPr>
      <w:spacing w:after="60"/>
      <w:ind w:left="-2268"/>
    </w:pPr>
    <w:rPr>
      <w:b/>
    </w:rPr>
  </w:style>
  <w:style w:type="paragraph" w:customStyle="1" w:styleId="Heading1TOC">
    <w:name w:val="Heading1 TOC"/>
    <w:basedOn w:val="Normal"/>
    <w:qFormat/>
    <w:rsid w:val="00024F97"/>
    <w:pPr>
      <w:spacing w:before="240" w:after="120"/>
    </w:pPr>
    <w:rPr>
      <w:rFonts w:ascii="Times New Roman" w:hAnsi="Times New Roman"/>
      <w:b/>
      <w:sz w:val="32"/>
    </w:rPr>
  </w:style>
  <w:style w:type="paragraph" w:customStyle="1" w:styleId="Heading2TOC">
    <w:name w:val="Heading2 TOC"/>
    <w:basedOn w:val="Normal"/>
    <w:qFormat/>
    <w:rsid w:val="00024F97"/>
    <w:pPr>
      <w:spacing w:before="240" w:after="60"/>
    </w:pPr>
    <w:rPr>
      <w:rFonts w:ascii="Times New Roman" w:hAnsi="Times New Roman"/>
      <w:b/>
      <w:sz w:val="28"/>
    </w:rPr>
  </w:style>
  <w:style w:type="character" w:customStyle="1" w:styleId="Underline">
    <w:name w:val="Underline"/>
    <w:basedOn w:val="DefaultParagraphFont"/>
    <w:qFormat/>
    <w:rsid w:val="00024F97"/>
    <w:rPr>
      <w:u w:val="single"/>
    </w:rPr>
  </w:style>
  <w:style w:type="character" w:customStyle="1" w:styleId="BoldandItalics">
    <w:name w:val="Bold and Italics"/>
    <w:qFormat/>
    <w:rsid w:val="00024F97"/>
    <w:rPr>
      <w:b/>
      <w:i/>
      <w:u w:val="none"/>
    </w:rPr>
  </w:style>
  <w:style w:type="paragraph" w:styleId="BalloonText">
    <w:name w:val="Balloon Text"/>
    <w:basedOn w:val="Normal"/>
    <w:link w:val="BalloonTextChar"/>
    <w:rsid w:val="00024F97"/>
    <w:rPr>
      <w:rFonts w:ascii="Tahoma" w:hAnsi="Tahoma" w:cs="Tahoma"/>
      <w:sz w:val="16"/>
      <w:szCs w:val="16"/>
    </w:rPr>
  </w:style>
  <w:style w:type="character" w:customStyle="1" w:styleId="BalloonTextChar">
    <w:name w:val="Balloon Text Char"/>
    <w:basedOn w:val="DefaultParagraphFont"/>
    <w:link w:val="BalloonText"/>
    <w:rsid w:val="00024F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4F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4F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4F97"/>
    <w:rPr>
      <w:b/>
      <w:color w:val="660033"/>
      <w:spacing w:val="0"/>
    </w:rPr>
  </w:style>
  <w:style w:type="paragraph" w:customStyle="1" w:styleId="Nameditemlist">
    <w:name w:val="Named item list"/>
    <w:basedOn w:val="BodyText"/>
    <w:qFormat/>
    <w:rsid w:val="00024F97"/>
    <w:pPr>
      <w:tabs>
        <w:tab w:val="left" w:pos="2835"/>
      </w:tabs>
      <w:ind w:left="2835" w:hanging="2835"/>
    </w:pPr>
  </w:style>
  <w:style w:type="paragraph" w:customStyle="1" w:styleId="BodyTextnopadding">
    <w:name w:val="Body Text no padding"/>
    <w:basedOn w:val="BodyText"/>
    <w:qFormat/>
    <w:rsid w:val="00024F97"/>
    <w:pPr>
      <w:spacing w:before="0" w:after="0"/>
    </w:pPr>
  </w:style>
  <w:style w:type="paragraph" w:customStyle="1" w:styleId="BodyTextBold">
    <w:name w:val="Body Text Bold"/>
    <w:basedOn w:val="BodyText"/>
    <w:qFormat/>
    <w:rsid w:val="00024F97"/>
    <w:rPr>
      <w:b/>
    </w:rPr>
  </w:style>
  <w:style w:type="character" w:styleId="Hyperlink">
    <w:name w:val="Hyperlink"/>
    <w:basedOn w:val="DefaultParagraphFont"/>
    <w:uiPriority w:val="99"/>
    <w:unhideWhenUsed/>
    <w:rsid w:val="00406B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772</Words>
  <Characters>5021</Characters>
  <Application>Microsoft Office Word</Application>
  <DocSecurity>0</DocSecurity>
  <Lines>239</Lines>
  <Paragraphs>137</Paragraphs>
  <ScaleCrop>false</ScaleCrop>
  <Company>Author-it Software Corporation Ltd.</Company>
  <LinksUpToDate>false</LinksUpToDate>
  <CharactersWithSpaces>5656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MSFSS2003 Undertake surface preparation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2022-12-21T05:30:00Z</dcterms:created>
  <dcterms:modified xsi:type="dcterms:W3CDTF">2022-12-21T05:30:00Z</dcterms:modified>
</cp:coreProperties>
</file>