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0BB1" w:rsidP="00050BB1">
      <w:pPr>
        <w:pStyle w:val="Title"/>
      </w:pPr>
      <w:r>
        <w:fldChar w:fldCharType="begin"/>
      </w:r>
      <w:r>
        <w:instrText xml:space="preserve"> TITLE   \* MERGEFORMAT </w:instrText>
      </w:r>
      <w:r>
        <w:fldChar w:fldCharType="separate"/>
      </w:r>
      <w:r>
        <w:t>MSFSS2002 Prepare product for Australian Standards testing</w:t>
      </w:r>
      <w:r>
        <w:fldChar w:fldCharType="end"/>
      </w:r>
    </w:p>
    <w:p w:rsidR="00050BB1" w:rsidP="00050BB1">
      <w:pPr>
        <w:pStyle w:val="Version"/>
        <w:sectPr w:rsidSect="006A016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0162" w:rsidP="006A0162">
      <w:pPr>
        <w:pStyle w:val="SuperHeading"/>
      </w:pPr>
      <w:r w:rsidRPr="006A0162">
        <w:t>MSFSS2002 Prepare product for Australian Standards testing</w:t>
      </w:r>
    </w:p>
    <w:p w:rsidR="00000000" w:rsidRPr="006A0162" w:rsidP="006A0162">
      <w:pPr>
        <w:pStyle w:val="Heading1"/>
      </w:pPr>
      <w:bookmarkStart w:id="1" w:name="O_621141"/>
      <w:bookmarkEnd w:id="1"/>
      <w:r w:rsidRPr="006A0162">
        <w:t>Modification History</w:t>
      </w:r>
    </w:p>
    <w:p w:rsidR="00000000" w:rsidRPr="006A0162" w:rsidP="00050BB1">
      <w:pPr>
        <w:pStyle w:val="BodyText"/>
      </w:pPr>
      <w:r w:rsidRPr="006A0162">
        <w:t>Release 1 - New unit of competency</w:t>
      </w:r>
    </w:p>
    <w:p w:rsidR="00000000" w:rsidRPr="006A0162" w:rsidP="006A0162">
      <w:pPr>
        <w:pStyle w:val="Heading1"/>
      </w:pPr>
      <w:bookmarkStart w:id="2" w:name="O_621142"/>
      <w:bookmarkEnd w:id="2"/>
      <w:r w:rsidRPr="006A0162">
        <w:t>Application</w:t>
      </w:r>
    </w:p>
    <w:p w:rsidR="00000000" w:rsidRPr="006A0162" w:rsidP="00050BB1">
      <w:pPr>
        <w:pStyle w:val="BodyText"/>
      </w:pPr>
      <w:r w:rsidRPr="006A0162">
        <w:t>This unit of competency covers preparing security screens and grilles for compliance testing against relevant Australian Standards. It does not cover the t</w:t>
      </w:r>
      <w:r w:rsidRPr="006A0162">
        <w:t>esting of the sample.</w:t>
      </w:r>
    </w:p>
    <w:p w:rsidR="00000000" w:rsidRPr="006A0162" w:rsidP="00050BB1">
      <w:pPr>
        <w:pStyle w:val="BodyText"/>
      </w:pPr>
      <w:r w:rsidRPr="006A0162">
        <w:t>No licensing, legislative or certification requirements apply to this unit at the time of publication.</w:t>
      </w:r>
    </w:p>
    <w:p w:rsidR="00000000" w:rsidRPr="006A0162" w:rsidP="006A0162">
      <w:pPr>
        <w:pStyle w:val="Heading1"/>
      </w:pPr>
      <w:bookmarkStart w:id="3" w:name="O_621143"/>
      <w:bookmarkEnd w:id="3"/>
      <w:r w:rsidRPr="006A0162">
        <w:t>Pre-requisite Unit</w:t>
      </w:r>
    </w:p>
    <w:p w:rsidR="00000000" w:rsidRPr="006A0162" w:rsidP="006A0162">
      <w:pPr>
        <w:pStyle w:val="Heading1"/>
      </w:pPr>
      <w:bookmarkStart w:id="4" w:name="O_621144"/>
      <w:bookmarkEnd w:id="4"/>
      <w:r w:rsidRPr="006A0162">
        <w:t>Competency Field</w:t>
      </w:r>
    </w:p>
    <w:p w:rsidR="00000000" w:rsidRPr="006A0162" w:rsidP="006A0162">
      <w:pPr>
        <w:pStyle w:val="Heading1"/>
      </w:pPr>
      <w:bookmarkStart w:id="5" w:name="O_621145"/>
      <w:bookmarkEnd w:id="5"/>
      <w:r w:rsidRPr="006A0162">
        <w:t>Unit Sector</w:t>
      </w:r>
    </w:p>
    <w:p w:rsidR="00000000" w:rsidRPr="006A0162" w:rsidP="00050BB1">
      <w:pPr>
        <w:pStyle w:val="BodyText"/>
      </w:pPr>
      <w:r w:rsidRPr="006A0162">
        <w:t>Security Screens and Grilles</w:t>
      </w:r>
    </w:p>
    <w:p w:rsidR="00000000" w:rsidRPr="006A0162" w:rsidP="006A0162">
      <w:pPr>
        <w:pStyle w:val="Heading1"/>
      </w:pPr>
      <w:bookmarkStart w:id="6" w:name="O_621146"/>
      <w:bookmarkEnd w:id="6"/>
      <w:r w:rsidRPr="006A0162">
        <w:t>Elements and Performance Criteria</w:t>
      </w:r>
    </w:p>
    <w:tbl>
      <w:tblPr>
        <w:tblW w:w="9286" w:type="dxa"/>
        <w:tblLayout w:type="fixed"/>
        <w:tblCellMar>
          <w:left w:w="62" w:type="dxa"/>
          <w:right w:w="62" w:type="dxa"/>
        </w:tblCellMar>
        <w:tblLook w:val="0000"/>
      </w:tblPr>
      <w:tblGrid>
        <w:gridCol w:w="540"/>
        <w:gridCol w:w="2219"/>
        <w:gridCol w:w="661"/>
        <w:gridCol w:w="5866"/>
      </w:tblGrid>
      <w:tr w:rsidTr="006A0162">
        <w:tblPrEx>
          <w:tblW w:w="9286" w:type="dxa"/>
          <w:tblLayout w:type="fixed"/>
          <w:tblCellMar>
            <w:left w:w="62" w:type="dxa"/>
            <w:right w:w="62" w:type="dxa"/>
          </w:tblCellMar>
          <w:tblLook w:val="0000"/>
        </w:tblPrEx>
        <w:trPr>
          <w:trHeight w:val="619"/>
        </w:trPr>
        <w:tc>
          <w:tcPr>
            <w:tcW w:w="2759" w:type="dxa"/>
            <w:gridSpan w:val="2"/>
            <w:tcBorders>
              <w:top w:val="nil"/>
              <w:left w:val="nil"/>
              <w:bottom w:val="nil"/>
              <w:right w:val="nil"/>
            </w:tcBorders>
            <w:tcMar>
              <w:top w:w="0" w:type="dxa"/>
              <w:left w:w="62" w:type="dxa"/>
              <w:bottom w:w="0" w:type="dxa"/>
              <w:right w:w="62" w:type="dxa"/>
            </w:tcMar>
          </w:tcPr>
          <w:p w:rsidR="00000000" w:rsidP="006A0162">
            <w:pPr>
              <w:pStyle w:val="BodyText"/>
              <w:rPr>
                <w:lang w:val="en-NZ"/>
              </w:rPr>
            </w:pPr>
            <w:r w:rsidRPr="006A0162">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6A0162">
            <w:pPr>
              <w:pStyle w:val="BodyText"/>
              <w:rPr>
                <w:lang w:val="en-NZ"/>
              </w:rPr>
            </w:pPr>
            <w:r w:rsidRPr="006A0162">
              <w:t>Performance criteria describe the performance needed to demonstrate achievement of the element.</w:t>
            </w:r>
          </w:p>
        </w:tc>
      </w:tr>
      <w:tr w:rsidTr="006A016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6A0162">
            <w:pPr>
              <w:pStyle w:val="BodyText"/>
              <w:rPr>
                <w:lang w:val="en-NZ"/>
              </w:rPr>
            </w:pPr>
            <w:r w:rsidRPr="006A0162">
              <w:t>1</w:t>
            </w:r>
          </w:p>
        </w:tc>
        <w:tc>
          <w:tcPr>
            <w:tcW w:w="2219" w:type="dxa"/>
            <w:tcBorders>
              <w:top w:val="nil"/>
              <w:left w:val="nil"/>
              <w:bottom w:val="nil"/>
              <w:right w:val="nil"/>
            </w:tcBorders>
            <w:tcMar>
              <w:top w:w="0" w:type="dxa"/>
              <w:left w:w="62" w:type="dxa"/>
              <w:bottom w:w="0" w:type="dxa"/>
              <w:right w:w="62" w:type="dxa"/>
            </w:tcMar>
          </w:tcPr>
          <w:p w:rsidR="00000000" w:rsidP="006A0162">
            <w:pPr>
              <w:pStyle w:val="BodyText"/>
              <w:rPr>
                <w:lang w:val="en-NZ"/>
              </w:rPr>
            </w:pPr>
            <w:r w:rsidRPr="006A0162">
              <w:t>Identify sample for testing</w:t>
            </w:r>
          </w:p>
        </w:tc>
        <w:tc>
          <w:tcPr>
            <w:tcW w:w="661" w:type="dxa"/>
            <w:tcBorders>
              <w:top w:val="nil"/>
              <w:left w:val="nil"/>
              <w:bottom w:val="nil"/>
              <w:right w:val="nil"/>
            </w:tcBorders>
            <w:tcMar>
              <w:top w:w="0" w:type="dxa"/>
              <w:left w:w="62" w:type="dxa"/>
              <w:bottom w:w="0" w:type="dxa"/>
              <w:right w:w="62" w:type="dxa"/>
            </w:tcMar>
          </w:tcPr>
          <w:p w:rsidR="00000000" w:rsidP="006A0162">
            <w:pPr>
              <w:pStyle w:val="BodyText"/>
              <w:rPr>
                <w:lang w:val="en-NZ"/>
              </w:rPr>
            </w:pPr>
            <w:r w:rsidRPr="006A0162">
              <w:t>1.1</w:t>
            </w:r>
          </w:p>
        </w:tc>
        <w:tc>
          <w:tcPr>
            <w:tcW w:w="5866" w:type="dxa"/>
            <w:tcBorders>
              <w:top w:val="nil"/>
              <w:left w:val="nil"/>
              <w:bottom w:val="nil"/>
              <w:right w:val="nil"/>
            </w:tcBorders>
            <w:tcMar>
              <w:top w:w="0" w:type="dxa"/>
              <w:left w:w="62" w:type="dxa"/>
              <w:bottom w:w="0" w:type="dxa"/>
              <w:right w:w="62" w:type="dxa"/>
            </w:tcMar>
          </w:tcPr>
          <w:p w:rsidR="00000000" w:rsidP="006A0162">
            <w:pPr>
              <w:pStyle w:val="BodyText"/>
              <w:rPr>
                <w:lang w:val="en-NZ"/>
              </w:rPr>
            </w:pPr>
            <w:r w:rsidRPr="006A0162">
              <w:t>Applicable work health and safety (WHS), legislative and organisational requirements relevant to the certification process are verified and complied with</w:t>
            </w:r>
          </w:p>
        </w:tc>
      </w:tr>
      <w:tr w:rsidTr="006A016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A0162">
            <w:pPr>
              <w:pStyle w:val="BodyText"/>
              <w:rPr>
                <w:lang w:val="en-NZ"/>
              </w:rPr>
            </w:pPr>
            <w:r w:rsidRPr="006A0162">
              <w:t>1.2</w:t>
            </w:r>
          </w:p>
        </w:tc>
        <w:tc>
          <w:tcPr>
            <w:tcW w:w="5866" w:type="dxa"/>
            <w:tcBorders>
              <w:top w:val="nil"/>
              <w:left w:val="nil"/>
              <w:bottom w:val="nil"/>
              <w:right w:val="nil"/>
            </w:tcBorders>
            <w:tcMar>
              <w:top w:w="0" w:type="dxa"/>
              <w:left w:w="62" w:type="dxa"/>
              <w:bottom w:w="0" w:type="dxa"/>
              <w:right w:w="62" w:type="dxa"/>
            </w:tcMar>
          </w:tcPr>
          <w:p w:rsidR="00000000" w:rsidP="006A0162">
            <w:pPr>
              <w:pStyle w:val="BodyText"/>
              <w:rPr>
                <w:lang w:val="en-NZ"/>
              </w:rPr>
            </w:pPr>
            <w:r w:rsidRPr="006A0162">
              <w:t>A sample is identified in accordance with Australian Standard requirements</w:t>
            </w:r>
          </w:p>
        </w:tc>
      </w:tr>
      <w:tr w:rsidTr="006A016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6A0162">
            <w:pPr>
              <w:pStyle w:val="BodyText"/>
              <w:rPr>
                <w:lang w:val="en-NZ"/>
              </w:rPr>
            </w:pPr>
            <w:r w:rsidRPr="006A0162">
              <w:t>2</w:t>
            </w:r>
          </w:p>
        </w:tc>
        <w:tc>
          <w:tcPr>
            <w:tcW w:w="2219" w:type="dxa"/>
            <w:tcBorders>
              <w:top w:val="nil"/>
              <w:left w:val="nil"/>
              <w:bottom w:val="nil"/>
              <w:right w:val="nil"/>
            </w:tcBorders>
            <w:tcMar>
              <w:top w:w="0" w:type="dxa"/>
              <w:left w:w="62" w:type="dxa"/>
              <w:bottom w:w="0" w:type="dxa"/>
              <w:right w:w="62" w:type="dxa"/>
            </w:tcMar>
          </w:tcPr>
          <w:p w:rsidR="00000000" w:rsidP="006A0162">
            <w:pPr>
              <w:pStyle w:val="BodyText"/>
              <w:rPr>
                <w:lang w:val="en-NZ"/>
              </w:rPr>
            </w:pPr>
            <w:r w:rsidRPr="006A0162">
              <w:t>Prepare documenta</w:t>
            </w:r>
            <w:r w:rsidRPr="006A0162">
              <w:t>tion</w:t>
            </w:r>
          </w:p>
        </w:tc>
        <w:tc>
          <w:tcPr>
            <w:tcW w:w="661" w:type="dxa"/>
            <w:tcBorders>
              <w:top w:val="nil"/>
              <w:left w:val="nil"/>
              <w:bottom w:val="nil"/>
              <w:right w:val="nil"/>
            </w:tcBorders>
            <w:tcMar>
              <w:top w:w="0" w:type="dxa"/>
              <w:left w:w="62" w:type="dxa"/>
              <w:bottom w:w="0" w:type="dxa"/>
              <w:right w:w="62" w:type="dxa"/>
            </w:tcMar>
          </w:tcPr>
          <w:p w:rsidR="00000000" w:rsidP="006A0162">
            <w:pPr>
              <w:pStyle w:val="BodyText"/>
              <w:rPr>
                <w:lang w:val="en-NZ"/>
              </w:rPr>
            </w:pPr>
            <w:r w:rsidRPr="006A0162">
              <w:t>2.1</w:t>
            </w:r>
          </w:p>
        </w:tc>
        <w:tc>
          <w:tcPr>
            <w:tcW w:w="5866" w:type="dxa"/>
            <w:tcBorders>
              <w:top w:val="nil"/>
              <w:left w:val="nil"/>
              <w:bottom w:val="nil"/>
              <w:right w:val="nil"/>
            </w:tcBorders>
            <w:tcMar>
              <w:top w:w="0" w:type="dxa"/>
              <w:left w:w="62" w:type="dxa"/>
              <w:bottom w:w="0" w:type="dxa"/>
              <w:right w:w="62" w:type="dxa"/>
            </w:tcMar>
          </w:tcPr>
          <w:p w:rsidR="00000000" w:rsidP="006A0162">
            <w:pPr>
              <w:pStyle w:val="BodyText"/>
              <w:rPr>
                <w:lang w:val="en-NZ"/>
              </w:rPr>
            </w:pPr>
            <w:r w:rsidRPr="006A0162">
              <w:t>Documentation is prepared in accordance with Australian Standards and organisational requirements</w:t>
            </w:r>
          </w:p>
        </w:tc>
      </w:tr>
      <w:tr w:rsidTr="006A016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A0162">
            <w:pPr>
              <w:pStyle w:val="BodyText"/>
              <w:rPr>
                <w:lang w:val="en-NZ"/>
              </w:rPr>
            </w:pPr>
            <w:r w:rsidRPr="006A0162">
              <w:t>2.1</w:t>
            </w:r>
          </w:p>
        </w:tc>
        <w:tc>
          <w:tcPr>
            <w:tcW w:w="5866" w:type="dxa"/>
            <w:tcBorders>
              <w:top w:val="nil"/>
              <w:left w:val="nil"/>
              <w:bottom w:val="nil"/>
              <w:right w:val="nil"/>
            </w:tcBorders>
            <w:tcMar>
              <w:top w:w="0" w:type="dxa"/>
              <w:left w:w="62" w:type="dxa"/>
              <w:bottom w:w="0" w:type="dxa"/>
              <w:right w:w="62" w:type="dxa"/>
            </w:tcMar>
          </w:tcPr>
          <w:p w:rsidR="00000000" w:rsidP="006A0162">
            <w:pPr>
              <w:pStyle w:val="BodyText"/>
              <w:rPr>
                <w:lang w:val="en-NZ"/>
              </w:rPr>
            </w:pPr>
            <w:r w:rsidRPr="006A0162">
              <w:t>Sample is packaged for transportation to a recognised testing facility in accordance with Australian Standard requirements</w:t>
            </w:r>
          </w:p>
        </w:tc>
      </w:tr>
      <w:tr w:rsidTr="006A016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6A0162">
            <w:pPr>
              <w:pStyle w:val="BodyText"/>
              <w:rPr>
                <w:lang w:val="en-NZ"/>
              </w:rPr>
            </w:pPr>
            <w:r w:rsidRPr="006A0162">
              <w:t>3</w:t>
            </w:r>
          </w:p>
        </w:tc>
        <w:tc>
          <w:tcPr>
            <w:tcW w:w="2219" w:type="dxa"/>
            <w:tcBorders>
              <w:top w:val="nil"/>
              <w:left w:val="nil"/>
              <w:bottom w:val="nil"/>
              <w:right w:val="nil"/>
            </w:tcBorders>
            <w:tcMar>
              <w:top w:w="0" w:type="dxa"/>
              <w:left w:w="62" w:type="dxa"/>
              <w:bottom w:w="0" w:type="dxa"/>
              <w:right w:w="62" w:type="dxa"/>
            </w:tcMar>
          </w:tcPr>
          <w:p w:rsidR="00000000" w:rsidP="006A0162">
            <w:pPr>
              <w:pStyle w:val="BodyText"/>
              <w:rPr>
                <w:lang w:val="en-NZ"/>
              </w:rPr>
            </w:pPr>
            <w:r w:rsidRPr="006A0162">
              <w:t>Complete report</w:t>
            </w:r>
          </w:p>
        </w:tc>
        <w:tc>
          <w:tcPr>
            <w:tcW w:w="661" w:type="dxa"/>
            <w:tcBorders>
              <w:top w:val="nil"/>
              <w:left w:val="nil"/>
              <w:bottom w:val="nil"/>
              <w:right w:val="nil"/>
            </w:tcBorders>
            <w:tcMar>
              <w:top w:w="0" w:type="dxa"/>
              <w:left w:w="62" w:type="dxa"/>
              <w:bottom w:w="0" w:type="dxa"/>
              <w:right w:w="62" w:type="dxa"/>
            </w:tcMar>
          </w:tcPr>
          <w:p w:rsidR="00000000" w:rsidP="006A0162">
            <w:pPr>
              <w:pStyle w:val="BodyText"/>
              <w:rPr>
                <w:lang w:val="en-NZ"/>
              </w:rPr>
            </w:pPr>
            <w:r w:rsidRPr="006A0162">
              <w:t>3.1</w:t>
            </w:r>
          </w:p>
        </w:tc>
        <w:tc>
          <w:tcPr>
            <w:tcW w:w="5866" w:type="dxa"/>
            <w:tcBorders>
              <w:top w:val="nil"/>
              <w:left w:val="nil"/>
              <w:bottom w:val="nil"/>
              <w:right w:val="nil"/>
            </w:tcBorders>
            <w:tcMar>
              <w:top w:w="0" w:type="dxa"/>
              <w:left w:w="62" w:type="dxa"/>
              <w:bottom w:w="0" w:type="dxa"/>
              <w:right w:w="62" w:type="dxa"/>
            </w:tcMar>
          </w:tcPr>
          <w:p w:rsidR="00000000" w:rsidP="006A0162">
            <w:pPr>
              <w:pStyle w:val="BodyText"/>
              <w:rPr>
                <w:lang w:val="en-NZ"/>
              </w:rPr>
            </w:pPr>
            <w:r w:rsidRPr="006A0162">
              <w:t>Reports of tests are actioned in accordance with Australian Standards and organisational requirements</w:t>
            </w:r>
          </w:p>
        </w:tc>
      </w:tr>
      <w:tr w:rsidTr="006A016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A0162">
            <w:pPr>
              <w:pStyle w:val="BodyText"/>
              <w:rPr>
                <w:lang w:val="en-NZ"/>
              </w:rPr>
            </w:pPr>
            <w:r w:rsidRPr="006A0162">
              <w:t>3.2</w:t>
            </w:r>
          </w:p>
        </w:tc>
        <w:tc>
          <w:tcPr>
            <w:tcW w:w="5866" w:type="dxa"/>
            <w:tcBorders>
              <w:top w:val="nil"/>
              <w:left w:val="nil"/>
              <w:bottom w:val="nil"/>
              <w:right w:val="nil"/>
            </w:tcBorders>
            <w:tcMar>
              <w:top w:w="0" w:type="dxa"/>
              <w:left w:w="62" w:type="dxa"/>
              <w:bottom w:w="0" w:type="dxa"/>
              <w:right w:w="62" w:type="dxa"/>
            </w:tcMar>
          </w:tcPr>
          <w:p w:rsidR="00000000" w:rsidP="006A0162">
            <w:pPr>
              <w:pStyle w:val="BodyText"/>
              <w:rPr>
                <w:lang w:val="en-NZ"/>
              </w:rPr>
            </w:pPr>
            <w:r w:rsidRPr="006A0162">
              <w:t>Where samples fail a test element, reports are presented to management for remedial action</w:t>
            </w:r>
          </w:p>
        </w:tc>
      </w:tr>
      <w:tr w:rsidTr="006A016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A0162">
            <w:pPr>
              <w:pStyle w:val="BodyText"/>
              <w:rPr>
                <w:lang w:val="en-NZ"/>
              </w:rPr>
            </w:pPr>
            <w:r w:rsidRPr="006A0162">
              <w:t>3.3</w:t>
            </w:r>
          </w:p>
        </w:tc>
        <w:tc>
          <w:tcPr>
            <w:tcW w:w="5866" w:type="dxa"/>
            <w:tcBorders>
              <w:top w:val="nil"/>
              <w:left w:val="nil"/>
              <w:bottom w:val="nil"/>
              <w:right w:val="nil"/>
            </w:tcBorders>
            <w:tcMar>
              <w:top w:w="0" w:type="dxa"/>
              <w:left w:w="62" w:type="dxa"/>
              <w:bottom w:w="0" w:type="dxa"/>
              <w:right w:w="62" w:type="dxa"/>
            </w:tcMar>
          </w:tcPr>
          <w:p w:rsidR="00000000" w:rsidP="006A0162">
            <w:pPr>
              <w:pStyle w:val="BodyText"/>
              <w:rPr>
                <w:lang w:val="en-NZ"/>
              </w:rPr>
            </w:pPr>
            <w:r w:rsidRPr="006A0162">
              <w:t>Where samples pass, management ensures that p</w:t>
            </w:r>
            <w:r w:rsidRPr="006A0162">
              <w:t>roduct Certification of Compliance is prepared and an appropriate notice affixed to the product in accordance with Australian Standards and organisational requirements</w:t>
            </w:r>
          </w:p>
        </w:tc>
      </w:tr>
      <w:tr w:rsidTr="006A016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A0162">
            <w:pPr>
              <w:pStyle w:val="BodyText"/>
              <w:rPr>
                <w:lang w:val="en-NZ"/>
              </w:rPr>
            </w:pPr>
            <w:r w:rsidRPr="006A0162">
              <w:t>3.4</w:t>
            </w:r>
          </w:p>
        </w:tc>
        <w:tc>
          <w:tcPr>
            <w:tcW w:w="5866" w:type="dxa"/>
            <w:tcBorders>
              <w:top w:val="nil"/>
              <w:left w:val="nil"/>
              <w:bottom w:val="nil"/>
              <w:right w:val="nil"/>
            </w:tcBorders>
            <w:tcMar>
              <w:top w:w="0" w:type="dxa"/>
              <w:left w:w="62" w:type="dxa"/>
              <w:bottom w:w="0" w:type="dxa"/>
              <w:right w:w="62" w:type="dxa"/>
            </w:tcMar>
          </w:tcPr>
          <w:p w:rsidR="00000000" w:rsidRPr="006A0162" w:rsidP="006A0162">
            <w:pPr>
              <w:pStyle w:val="BodyText"/>
            </w:pPr>
            <w:r w:rsidRPr="006A0162">
              <w:t>Records of all processes and actions are included in the organisation’</w:t>
            </w:r>
            <w:r w:rsidRPr="006A0162">
              <w:t>s quality system</w:t>
            </w:r>
          </w:p>
        </w:tc>
      </w:tr>
    </w:tbl>
    <w:p w:rsidR="00000000" w:rsidRPr="006A0162" w:rsidP="006A0162">
      <w:pPr>
        <w:pStyle w:val="BodyText"/>
      </w:pPr>
    </w:p>
    <w:p w:rsidR="00000000" w:rsidRPr="006A0162" w:rsidP="006A0162">
      <w:pPr>
        <w:pStyle w:val="AllowPageBreak"/>
      </w:pPr>
    </w:p>
    <w:p w:rsidR="00000000" w:rsidRPr="006A0162" w:rsidP="006A0162">
      <w:pPr>
        <w:pStyle w:val="Heading1"/>
      </w:pPr>
      <w:bookmarkStart w:id="7" w:name="O_621147"/>
      <w:bookmarkEnd w:id="7"/>
      <w:r w:rsidRPr="006A0162">
        <w:t>Foundation Skills</w:t>
      </w:r>
    </w:p>
    <w:p w:rsidR="00000000" w:rsidRPr="006A0162" w:rsidP="00050BB1">
      <w:pPr>
        <w:pStyle w:val="BodyText"/>
      </w:pPr>
      <w:r w:rsidRPr="006A0162">
        <w:t>Foundation skills essential to performance are explicit in the performance criteria of this unit of competency. Detail on appropriate performance levels for each furnishing unit of competency in reading</w:t>
      </w:r>
      <w:r w:rsidRPr="006A0162">
        <w:t>, writing, oral communication and numeracy utilising the Australian Core Skills Framework (ACSF) are provided in the Furnishing Training Package Implementation Guide.</w:t>
      </w:r>
    </w:p>
    <w:p w:rsidR="00000000" w:rsidRPr="006A0162" w:rsidP="006A0162">
      <w:pPr>
        <w:pStyle w:val="Heading1"/>
      </w:pPr>
      <w:bookmarkStart w:id="8" w:name="O_621148"/>
      <w:bookmarkEnd w:id="8"/>
      <w:r w:rsidRPr="006A0162">
        <w:t>Range of Conditions</w:t>
      </w:r>
    </w:p>
    <w:tbl>
      <w:tblPr>
        <w:tblW w:w="0" w:type="auto"/>
        <w:tblLayout w:type="fixed"/>
        <w:tblCellMar>
          <w:left w:w="62" w:type="dxa"/>
          <w:right w:w="62" w:type="dxa"/>
        </w:tblCellMar>
        <w:tblLook w:val="0000"/>
      </w:tblPr>
      <w:tblGrid>
        <w:gridCol w:w="2760"/>
        <w:gridCol w:w="6312"/>
      </w:tblGrid>
      <w:tr w:rsidTr="006A016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A0162">
            <w:pPr>
              <w:pStyle w:val="BodyText"/>
              <w:rPr>
                <w:lang w:val="en-NZ"/>
              </w:rPr>
            </w:pPr>
            <w:r w:rsidRPr="006A0162">
              <w:t>Specifies different work environments and conditions</w:t>
            </w:r>
            <w:r w:rsidRPr="006A0162">
              <w:t xml:space="preserve"> that may affect performance. Essential operating conditions that may be present (depending on the work situation, needs of the candidate, accessibility of the item, and local industry and regional contexts) are included. Range is restricted to essential o</w:t>
            </w:r>
            <w:r w:rsidRPr="006A0162">
              <w:t>perating conditions and any other variables essential to the work environment.</w:t>
            </w:r>
          </w:p>
        </w:tc>
      </w:tr>
      <w:tr w:rsidTr="006A016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A0162">
            <w:pPr>
              <w:pStyle w:val="BodyText"/>
              <w:rPr>
                <w:lang w:val="en-NZ"/>
              </w:rPr>
            </w:pPr>
            <w:r w:rsidRPr="006A0162">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6A0162" w:rsidP="006A0162">
            <w:pPr>
              <w:pStyle w:val="ListBullet"/>
            </w:pPr>
            <w:r w:rsidRPr="006A0162">
              <w:t>WHS requirements, including legislation, building codes, material safety management systems, hazardous and dangerous goods codes, and local safe operat</w:t>
            </w:r>
            <w:r w:rsidRPr="006A0162">
              <w:t xml:space="preserve">ing procedures or equivalent </w:t>
            </w:r>
          </w:p>
          <w:p w:rsidR="00000000" w:rsidRPr="006A0162" w:rsidP="006A0162">
            <w:pPr>
              <w:pStyle w:val="ListBullet"/>
            </w:pPr>
            <w:r w:rsidRPr="006A0162">
              <w:t>work is carried out in accordance with legislative obligations, environmental legislation, relevant health regulations, manual handling procedures and organisation insurance requirements</w:t>
            </w:r>
          </w:p>
          <w:p w:rsidR="00000000" w:rsidP="006A0162">
            <w:pPr>
              <w:pStyle w:val="ListBullet"/>
              <w:rPr>
                <w:lang w:val="en-NZ"/>
              </w:rPr>
            </w:pPr>
            <w:r w:rsidRPr="006A0162">
              <w:t xml:space="preserve">work requires individuals to demonstrate some discretion, judgement and problem solving </w:t>
            </w:r>
          </w:p>
        </w:tc>
      </w:tr>
      <w:tr w:rsidTr="006A016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A0162">
            <w:pPr>
              <w:pStyle w:val="BodyText"/>
              <w:rPr>
                <w:lang w:val="en-NZ"/>
              </w:rPr>
            </w:pPr>
            <w:r w:rsidRPr="006A0162">
              <w:rPr>
                <w:rStyle w:val="SpecialBold"/>
              </w:rPr>
              <w:t>Sample includes:</w:t>
            </w:r>
          </w:p>
        </w:tc>
        <w:tc>
          <w:tcPr>
            <w:tcW w:w="6312" w:type="dxa"/>
            <w:tcBorders>
              <w:top w:val="nil"/>
              <w:left w:val="nil"/>
              <w:bottom w:val="nil"/>
              <w:right w:val="nil"/>
            </w:tcBorders>
            <w:tcMar>
              <w:top w:w="0" w:type="dxa"/>
              <w:left w:w="62" w:type="dxa"/>
              <w:bottom w:w="0" w:type="dxa"/>
              <w:right w:w="62" w:type="dxa"/>
            </w:tcMar>
          </w:tcPr>
          <w:p w:rsidR="00000000" w:rsidP="006A0162">
            <w:pPr>
              <w:pStyle w:val="ListBullet"/>
              <w:rPr>
                <w:lang w:val="en-NZ"/>
              </w:rPr>
            </w:pPr>
            <w:r w:rsidRPr="006A0162">
              <w:t>the product in the form of a production model security screen or grille with ancillary fittings, such as hinges and locks, where applicable</w:t>
            </w:r>
          </w:p>
        </w:tc>
      </w:tr>
      <w:tr w:rsidTr="006A016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A0162">
            <w:pPr>
              <w:pStyle w:val="BodyText"/>
              <w:rPr>
                <w:lang w:val="en-NZ"/>
              </w:rPr>
            </w:pPr>
            <w:r w:rsidRPr="006A0162">
              <w:rPr>
                <w:rStyle w:val="SpecialBold"/>
              </w:rPr>
              <w:t>Actione</w:t>
            </w:r>
            <w:r w:rsidRPr="006A0162">
              <w:rPr>
                <w:rStyle w:val="SpecialBold"/>
              </w:rPr>
              <w:t>d includes:</w:t>
            </w:r>
          </w:p>
        </w:tc>
        <w:tc>
          <w:tcPr>
            <w:tcW w:w="6312" w:type="dxa"/>
            <w:tcBorders>
              <w:top w:val="nil"/>
              <w:left w:val="nil"/>
              <w:bottom w:val="nil"/>
              <w:right w:val="nil"/>
            </w:tcBorders>
            <w:tcMar>
              <w:top w:w="0" w:type="dxa"/>
              <w:left w:w="62" w:type="dxa"/>
              <w:bottom w:w="0" w:type="dxa"/>
              <w:right w:w="62" w:type="dxa"/>
            </w:tcMar>
          </w:tcPr>
          <w:p w:rsidR="00000000" w:rsidP="006A0162">
            <w:pPr>
              <w:pStyle w:val="ListBullet"/>
              <w:rPr>
                <w:lang w:val="en-NZ"/>
              </w:rPr>
            </w:pPr>
            <w:r w:rsidRPr="006A0162">
              <w:t xml:space="preserve">bringing the report findings to the attention of the appropriate organisational appointees responsible for resolving or processing the report’s findings </w:t>
            </w:r>
          </w:p>
        </w:tc>
      </w:tr>
      <w:tr w:rsidTr="006A016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A0162">
            <w:pPr>
              <w:pStyle w:val="BodyText"/>
              <w:rPr>
                <w:lang w:val="en-NZ"/>
              </w:rPr>
            </w:pPr>
            <w:r w:rsidRPr="006A0162">
              <w:rPr>
                <w:rStyle w:val="SpecialBold"/>
              </w:rPr>
              <w:t xml:space="preserve">Certification of </w:t>
            </w:r>
            <w:r w:rsidRPr="006A0162">
              <w:rPr>
                <w:rStyle w:val="SpecialBold"/>
              </w:rPr>
              <w:t>Compliance includes:</w:t>
            </w:r>
          </w:p>
        </w:tc>
        <w:tc>
          <w:tcPr>
            <w:tcW w:w="6312" w:type="dxa"/>
            <w:tcBorders>
              <w:top w:val="nil"/>
              <w:left w:val="nil"/>
              <w:bottom w:val="nil"/>
              <w:right w:val="nil"/>
            </w:tcBorders>
            <w:tcMar>
              <w:top w:w="0" w:type="dxa"/>
              <w:left w:w="62" w:type="dxa"/>
              <w:bottom w:w="0" w:type="dxa"/>
              <w:right w:w="62" w:type="dxa"/>
            </w:tcMar>
          </w:tcPr>
          <w:p w:rsidR="00000000" w:rsidP="006A0162">
            <w:pPr>
              <w:pStyle w:val="ListBullet"/>
              <w:rPr>
                <w:lang w:val="en-NZ"/>
              </w:rPr>
            </w:pPr>
            <w:r w:rsidRPr="006A0162">
              <w:t>the marking/labelling able to be affixed to produ</w:t>
            </w:r>
            <w:r w:rsidRPr="006A0162">
              <w:t xml:space="preserve">ct once it </w:t>
            </w:r>
            <w:r w:rsidRPr="006A0162">
              <w:t>has passed the appropriate test at an Australian Standards recognised testing facility</w:t>
            </w:r>
          </w:p>
        </w:tc>
      </w:tr>
      <w:tr w:rsidTr="006A016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A0162">
            <w:pPr>
              <w:pStyle w:val="BodyText"/>
              <w:rPr>
                <w:lang w:val="en-NZ"/>
              </w:rPr>
            </w:pPr>
            <w:r w:rsidRPr="006A0162">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6A0162">
            <w:pPr>
              <w:pStyle w:val="ListBullet"/>
              <w:rPr>
                <w:lang w:val="en-NZ"/>
              </w:rPr>
            </w:pPr>
            <w:r w:rsidRPr="006A0162">
              <w:t>that prescribed under legislation, regulation and enterprise policies and practices</w:t>
            </w:r>
          </w:p>
        </w:tc>
      </w:tr>
      <w:tr w:rsidTr="006A016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A0162">
            <w:pPr>
              <w:pStyle w:val="BodyText"/>
              <w:rPr>
                <w:lang w:val="en-NZ"/>
              </w:rPr>
            </w:pPr>
            <w:r w:rsidRPr="006A0162">
              <w:rPr>
                <w:rStyle w:val="SpecialBold"/>
              </w:rPr>
              <w:t>Informati</w:t>
            </w:r>
            <w:r w:rsidRPr="006A0162">
              <w:rPr>
                <w:rStyle w:val="SpecialBold"/>
              </w:rPr>
              <w:t>on and procedures include:</w:t>
            </w:r>
          </w:p>
        </w:tc>
        <w:tc>
          <w:tcPr>
            <w:tcW w:w="6312" w:type="dxa"/>
            <w:tcBorders>
              <w:top w:val="nil"/>
              <w:left w:val="nil"/>
              <w:bottom w:val="nil"/>
              <w:right w:val="nil"/>
            </w:tcBorders>
            <w:tcMar>
              <w:top w:w="0" w:type="dxa"/>
              <w:left w:w="62" w:type="dxa"/>
              <w:bottom w:w="0" w:type="dxa"/>
              <w:right w:w="62" w:type="dxa"/>
            </w:tcMar>
          </w:tcPr>
          <w:p w:rsidR="00000000" w:rsidRPr="006A0162" w:rsidP="006A0162">
            <w:pPr>
              <w:pStyle w:val="ListBullet"/>
            </w:pPr>
            <w:r w:rsidRPr="006A0162">
              <w:t xml:space="preserve">workplace procedures relating to the use of tools and equipment and personal protective equipment </w:t>
            </w:r>
          </w:p>
          <w:p w:rsidR="00000000" w:rsidRPr="006A0162" w:rsidP="006A0162">
            <w:pPr>
              <w:pStyle w:val="ListBullet"/>
            </w:pPr>
            <w:r w:rsidRPr="006A0162">
              <w:t xml:space="preserve">work instructions, including job sheets, cutting lists, plans, drawings and designs </w:t>
            </w:r>
          </w:p>
          <w:p w:rsidR="00000000" w:rsidRPr="006A0162" w:rsidP="006A0162">
            <w:pPr>
              <w:pStyle w:val="ListBullet"/>
            </w:pPr>
            <w:r w:rsidRPr="006A0162">
              <w:t>workplace procedures relating to reporting a</w:t>
            </w:r>
            <w:r w:rsidRPr="006A0162">
              <w:t xml:space="preserve">nd communication </w:t>
            </w:r>
          </w:p>
          <w:p w:rsidR="00000000" w:rsidRPr="006A0162" w:rsidP="006A0162">
            <w:pPr>
              <w:pStyle w:val="ListBullet"/>
            </w:pPr>
            <w:r w:rsidRPr="006A0162">
              <w:t>manufacturer specifications and operational procedures</w:t>
            </w:r>
          </w:p>
        </w:tc>
      </w:tr>
    </w:tbl>
    <w:p w:rsidR="00000000" w:rsidRPr="006A0162" w:rsidP="006A0162">
      <w:pPr>
        <w:pStyle w:val="BodyText"/>
      </w:pPr>
    </w:p>
    <w:p w:rsidR="00000000" w:rsidRPr="006A0162" w:rsidP="006A0162">
      <w:pPr>
        <w:pStyle w:val="AllowPageBreak"/>
      </w:pPr>
    </w:p>
    <w:p w:rsidR="00000000" w:rsidRPr="006A0162" w:rsidP="006A0162">
      <w:pPr>
        <w:pStyle w:val="Heading1"/>
      </w:pPr>
      <w:bookmarkStart w:id="9" w:name="O_621149"/>
      <w:bookmarkEnd w:id="9"/>
      <w:r w:rsidRPr="006A0162">
        <w:t>Unit Mapping Information</w:t>
      </w:r>
    </w:p>
    <w:p w:rsidR="00000000" w:rsidRPr="006A0162" w:rsidP="00050BB1">
      <w:pPr>
        <w:pStyle w:val="BodyText"/>
      </w:pPr>
      <w:r w:rsidRPr="006A0162">
        <w:t>Supersedes and is equivalent to LMFSS2003A Prepare product for Australian Standards testing.</w:t>
      </w:r>
    </w:p>
    <w:p w:rsidR="00000000" w:rsidRPr="006A0162" w:rsidP="006A0162">
      <w:pPr>
        <w:pStyle w:val="Heading1"/>
      </w:pPr>
      <w:bookmarkStart w:id="10" w:name="O_621156"/>
      <w:bookmarkEnd w:id="10"/>
      <w:r w:rsidRPr="006A0162">
        <w:t>Links</w:t>
      </w:r>
    </w:p>
    <w:p w:rsidR="00000000" w:rsidRPr="006A0162" w:rsidP="00050BB1">
      <w:pPr>
        <w:pStyle w:val="BodyText"/>
      </w:pPr>
      <w:r w:rsidRPr="006A0162">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413E98">
        <w:rPr>
          <w:rStyle w:val="Hyperlink"/>
        </w:rPr>
        <w:t>https://vetnet.gov.au/Pages/TrainingDocs.aspx?q=0601ab95-583a-4e93-b2d4-cfb27b03ed73</w:t>
      </w:r>
      <w:r>
        <w:fldChar w:fldCharType="end"/>
      </w:r>
    </w:p>
    <w:p w:rsidR="00000000" w:rsidRPr="006A0162" w:rsidP="00050BB1">
      <w:pPr>
        <w:pStyle w:val="BodyText"/>
        <w:sectPr w:rsidSect="006A0162">
          <w:headerReference w:type="default" r:id="rId10"/>
          <w:footerReference w:type="default" r:id="rId11"/>
          <w:pgSz w:w="11908" w:h="16833"/>
          <w:pgMar w:top="1702" w:right="1418" w:bottom="1702" w:left="1418" w:header="992" w:footer="992" w:gutter="0"/>
          <w:cols w:space="720"/>
          <w:noEndnote/>
          <w:docGrid w:linePitch="299"/>
        </w:sectPr>
      </w:pPr>
    </w:p>
    <w:p w:rsidR="00000000" w:rsidRPr="006A0162" w:rsidP="006A0162">
      <w:pPr>
        <w:pStyle w:val="SuperHeading"/>
      </w:pPr>
      <w:r w:rsidRPr="006A0162">
        <w:t>Assessment Requirements for MSFSS2002 Prepare product for Austr</w:t>
      </w:r>
      <w:r w:rsidRPr="006A0162">
        <w:t>alian Standards testing</w:t>
      </w:r>
    </w:p>
    <w:p w:rsidR="00000000" w:rsidRPr="006A0162" w:rsidP="006A0162">
      <w:pPr>
        <w:pStyle w:val="Heading1"/>
      </w:pPr>
      <w:bookmarkStart w:id="11" w:name="O_621151"/>
      <w:bookmarkEnd w:id="11"/>
      <w:r w:rsidRPr="006A0162">
        <w:t>Modification History</w:t>
      </w:r>
    </w:p>
    <w:p w:rsidR="00000000" w:rsidRPr="006A0162" w:rsidP="00050BB1">
      <w:pPr>
        <w:pStyle w:val="BodyText"/>
      </w:pPr>
      <w:r w:rsidRPr="006A0162">
        <w:t>Release 1 - New unit of competency</w:t>
      </w:r>
    </w:p>
    <w:p w:rsidR="00000000" w:rsidRPr="006A0162" w:rsidP="006A0162">
      <w:pPr>
        <w:pStyle w:val="Heading1"/>
      </w:pPr>
      <w:bookmarkStart w:id="12" w:name="O_621152"/>
      <w:bookmarkEnd w:id="12"/>
      <w:r w:rsidRPr="006A0162">
        <w:t>Performance Evidence</w:t>
      </w:r>
    </w:p>
    <w:p w:rsidR="00000000" w:rsidRPr="006A0162" w:rsidP="006A0162">
      <w:pPr>
        <w:pStyle w:val="ListBullet"/>
      </w:pPr>
      <w:r w:rsidRPr="006A0162">
        <w:t xml:space="preserve">Interpret work order and locate and apply relevant information </w:t>
      </w:r>
    </w:p>
    <w:p w:rsidR="00000000" w:rsidRPr="006A0162" w:rsidP="006A0162">
      <w:pPr>
        <w:pStyle w:val="ListBullet"/>
      </w:pPr>
      <w:r w:rsidRPr="006A0162">
        <w:t xml:space="preserve">Apply safe handling requirements for equipment, products </w:t>
      </w:r>
      <w:r w:rsidRPr="006A0162">
        <w:t xml:space="preserve">and materials, including use of personal protective equipment </w:t>
      </w:r>
    </w:p>
    <w:p w:rsidR="00000000" w:rsidRPr="006A0162" w:rsidP="006A0162">
      <w:pPr>
        <w:pStyle w:val="ListBullet"/>
      </w:pPr>
      <w:r w:rsidRPr="006A0162">
        <w:t xml:space="preserve">Identify materials used in the work process </w:t>
      </w:r>
    </w:p>
    <w:p w:rsidR="00000000" w:rsidRPr="006A0162" w:rsidP="006A0162">
      <w:pPr>
        <w:pStyle w:val="ListBullet"/>
      </w:pPr>
      <w:r w:rsidRPr="006A0162">
        <w:t xml:space="preserve">Follow work instructions, operating procedures and inspection processes to: </w:t>
      </w:r>
    </w:p>
    <w:p w:rsidR="00000000" w:rsidRPr="006A0162" w:rsidP="006A0162">
      <w:pPr>
        <w:pStyle w:val="ListBullet2"/>
      </w:pPr>
      <w:r w:rsidRPr="006A0162">
        <w:t xml:space="preserve">minimise the risk of injury to self or others </w:t>
      </w:r>
    </w:p>
    <w:p w:rsidR="00000000" w:rsidRPr="006A0162" w:rsidP="006A0162">
      <w:pPr>
        <w:pStyle w:val="ListBullet2"/>
      </w:pPr>
      <w:r w:rsidRPr="006A0162">
        <w:t xml:space="preserve">prevent damage to goods, equipment and products </w:t>
      </w:r>
    </w:p>
    <w:p w:rsidR="00000000" w:rsidRPr="006A0162" w:rsidP="006A0162">
      <w:pPr>
        <w:pStyle w:val="ListBullet2"/>
      </w:pPr>
      <w:r w:rsidRPr="006A0162">
        <w:t xml:space="preserve">maintain required production output and product quality </w:t>
      </w:r>
    </w:p>
    <w:p w:rsidR="00000000" w:rsidRPr="006A0162" w:rsidP="006A0162">
      <w:pPr>
        <w:pStyle w:val="ListBullet"/>
      </w:pPr>
      <w:r w:rsidRPr="006A0162">
        <w:t>Comply with legislation, regulations, standards, codes of practice and established safe practices and procedures for seeking the certification of com</w:t>
      </w:r>
      <w:r w:rsidRPr="006A0162">
        <w:t>pliance of security screens and grilles with Australian Standards</w:t>
      </w:r>
    </w:p>
    <w:p w:rsidR="00000000" w:rsidRPr="006A0162" w:rsidP="006A0162">
      <w:pPr>
        <w:pStyle w:val="ListBullet"/>
      </w:pPr>
      <w:r w:rsidRPr="006A0162">
        <w:t xml:space="preserve">Use mathematical ideas and techniques to correctly complete measurements, calculate area and estimate material requirements </w:t>
      </w:r>
    </w:p>
    <w:p w:rsidR="00000000" w:rsidRPr="006A0162" w:rsidP="006A0162">
      <w:pPr>
        <w:pStyle w:val="ListBullet"/>
      </w:pPr>
      <w:r w:rsidRPr="006A0162">
        <w:t xml:space="preserve">Communicate ideas and information to enable confirmation of work </w:t>
      </w:r>
      <w:r w:rsidRPr="006A0162">
        <w:t xml:space="preserve">requirements and specifications and the reporting of work outcomes and problems, interpret basic plans and follow safety procedures </w:t>
      </w:r>
    </w:p>
    <w:p w:rsidR="00000000" w:rsidRPr="006A0162" w:rsidP="006A0162">
      <w:pPr>
        <w:pStyle w:val="ListBullet"/>
      </w:pPr>
      <w:r w:rsidRPr="006A0162">
        <w:t>Avoid backtracking, work flow interruptions or wastage</w:t>
      </w:r>
    </w:p>
    <w:p w:rsidR="00000000" w:rsidRPr="006A0162" w:rsidP="006A0162">
      <w:pPr>
        <w:pStyle w:val="ListBullet"/>
      </w:pPr>
      <w:r w:rsidRPr="006A0162">
        <w:t>Work with others and in a team by recognising dependencies and using</w:t>
      </w:r>
      <w:r w:rsidRPr="006A0162">
        <w:t xml:space="preserve"> cooperative approaches to optimise work flow and productivity</w:t>
      </w:r>
    </w:p>
    <w:p w:rsidR="00000000" w:rsidRPr="006A0162" w:rsidP="006A0162">
      <w:pPr>
        <w:pStyle w:val="AllowPageBreak"/>
      </w:pPr>
    </w:p>
    <w:p w:rsidR="00000000" w:rsidRPr="006A0162" w:rsidP="006A0162">
      <w:pPr>
        <w:pStyle w:val="Heading1"/>
      </w:pPr>
      <w:bookmarkStart w:id="13" w:name="O_621153"/>
      <w:bookmarkEnd w:id="13"/>
      <w:r w:rsidRPr="006A0162">
        <w:t>Knowledge Evidence</w:t>
      </w:r>
    </w:p>
    <w:p w:rsidR="00000000" w:rsidRPr="006A0162" w:rsidP="006A0162">
      <w:pPr>
        <w:pStyle w:val="ListBullet"/>
      </w:pPr>
      <w:r w:rsidRPr="006A0162">
        <w:t>Organisational and site standards, requirements, policies and procedures for certification of products in accordance with the Australian Standards</w:t>
      </w:r>
    </w:p>
    <w:p w:rsidR="00000000" w:rsidRPr="006A0162" w:rsidP="006A0162">
      <w:pPr>
        <w:pStyle w:val="ListBullet"/>
      </w:pPr>
      <w:r w:rsidRPr="006A0162">
        <w:t>Environmental protection requirements relating to the disposal of waste material</w:t>
      </w:r>
    </w:p>
    <w:p w:rsidR="00000000" w:rsidRPr="006A0162" w:rsidP="006A0162">
      <w:pPr>
        <w:pStyle w:val="ListBullet"/>
      </w:pPr>
      <w:r w:rsidRPr="006A0162">
        <w:t>Established communication channels and protocols</w:t>
      </w:r>
    </w:p>
    <w:p w:rsidR="00000000" w:rsidRPr="006A0162" w:rsidP="006A0162">
      <w:pPr>
        <w:pStyle w:val="ListBullet"/>
      </w:pPr>
      <w:r w:rsidRPr="006A0162">
        <w:t>Relevant problem identification and resolution</w:t>
      </w:r>
    </w:p>
    <w:p w:rsidR="00000000" w:rsidRPr="006A0162" w:rsidP="006A0162">
      <w:pPr>
        <w:pStyle w:val="ListBullet"/>
      </w:pPr>
      <w:r w:rsidRPr="006A0162">
        <w:t>Types of tools and equipment and procedures for their safe use, operation and maintenance</w:t>
      </w:r>
    </w:p>
    <w:p w:rsidR="00000000" w:rsidRPr="006A0162" w:rsidP="006A0162">
      <w:pPr>
        <w:pStyle w:val="ListBullet"/>
      </w:pPr>
      <w:r w:rsidRPr="006A0162">
        <w:t>Storage systems and labelling</w:t>
      </w:r>
    </w:p>
    <w:p w:rsidR="00000000" w:rsidRPr="006A0162" w:rsidP="006A0162">
      <w:pPr>
        <w:pStyle w:val="ListBullet"/>
      </w:pPr>
      <w:r w:rsidRPr="006A0162">
        <w:t>Procedures for the recording, reporting and maintenance of workplace records and information</w:t>
      </w:r>
    </w:p>
    <w:p w:rsidR="00000000" w:rsidRPr="006A0162" w:rsidP="006A0162">
      <w:pPr>
        <w:pStyle w:val="AllowPageBreak"/>
      </w:pPr>
    </w:p>
    <w:p w:rsidR="00000000" w:rsidRPr="006A0162" w:rsidP="006A0162">
      <w:pPr>
        <w:pStyle w:val="Heading1"/>
      </w:pPr>
      <w:bookmarkStart w:id="14" w:name="O_621154"/>
      <w:bookmarkEnd w:id="14"/>
      <w:r w:rsidRPr="006A0162">
        <w:t>Assessment Conditions</w:t>
      </w:r>
    </w:p>
    <w:p w:rsidR="00000000" w:rsidRPr="006A0162" w:rsidP="006A0162">
      <w:pPr>
        <w:pStyle w:val="ListBullet"/>
      </w:pPr>
      <w:r w:rsidRPr="006A0162">
        <w:t>Ass</w:t>
      </w:r>
      <w:r w:rsidRPr="006A0162">
        <w:t>essors must:</w:t>
      </w:r>
    </w:p>
    <w:p w:rsidR="00000000" w:rsidRPr="006A0162" w:rsidP="006A0162">
      <w:pPr>
        <w:pStyle w:val="ListBullet2"/>
      </w:pPr>
      <w:r w:rsidRPr="006A0162">
        <w:t>hold training and assessment competencies as determined by the National Skills Standards Council (NSSC) or its successors</w:t>
      </w:r>
    </w:p>
    <w:p w:rsidR="00000000" w:rsidRPr="006A0162" w:rsidP="006A0162">
      <w:pPr>
        <w:pStyle w:val="ListBullet2"/>
      </w:pPr>
      <w:r w:rsidRPr="006A0162">
        <w:t>have vocational competency in the furnishing industry at least to the level being assessed with broad industry knowledge</w:t>
      </w:r>
      <w:r w:rsidRPr="006A0162">
        <w:t xml:space="preserve"> and experience, usually combined with a relevant industry qualification </w:t>
      </w:r>
    </w:p>
    <w:p w:rsidR="00000000" w:rsidRPr="006A0162" w:rsidP="006A0162">
      <w:pPr>
        <w:pStyle w:val="ListBullet2"/>
      </w:pPr>
      <w:r w:rsidRPr="006A0162">
        <w:t>be familiar with the current skills and knowledge used and have relevant, current experience in the furnishing industry.</w:t>
      </w:r>
    </w:p>
    <w:p w:rsidR="00000000" w:rsidRPr="006A0162" w:rsidP="006A0162">
      <w:pPr>
        <w:pStyle w:val="ListBullet"/>
      </w:pPr>
      <w:r w:rsidRPr="006A0162">
        <w:t>Assessment methods must confirm consistency of performance o</w:t>
      </w:r>
      <w:r w:rsidRPr="006A0162">
        <w:t xml:space="preserve">ver time rather than a single assessment event and in a range of workplace relevant contexts. </w:t>
      </w:r>
    </w:p>
    <w:p w:rsidR="00000000" w:rsidRPr="006A0162" w:rsidP="006A0162">
      <w:pPr>
        <w:pStyle w:val="ListBullet"/>
      </w:pPr>
      <w:r w:rsidRPr="006A0162">
        <w:t xml:space="preserve">Assessment must be by observation of relevant tasks with questioning on underpinning knowledge and, where applicable, multimedia evidence, supervisor’s reports, </w:t>
      </w:r>
      <w:r w:rsidRPr="006A0162">
        <w:t xml:space="preserve">projects and work samples. </w:t>
      </w:r>
    </w:p>
    <w:p w:rsidR="00000000" w:rsidRPr="006A0162" w:rsidP="006A0162">
      <w:pPr>
        <w:pStyle w:val="ListBullet"/>
      </w:pPr>
      <w:r w:rsidRPr="006A0162">
        <w:t>Assessment is to be conducted on single units of competency or in conjunction with other related units of competency. Foundation skills are integral to competent performance in the unit and should not be assessed separately.</w:t>
      </w:r>
    </w:p>
    <w:p w:rsidR="00000000" w:rsidRPr="006A0162" w:rsidP="006A0162">
      <w:pPr>
        <w:pStyle w:val="ListBullet"/>
      </w:pPr>
      <w:r w:rsidRPr="006A0162">
        <w:t>Ass</w:t>
      </w:r>
      <w:r w:rsidRPr="006A0162">
        <w:t>essment must occur on the job or in a workplace simulated facility with relevant process, equipment, materials, work instructions and deadlines.</w:t>
      </w:r>
    </w:p>
    <w:p w:rsidR="00000000" w:rsidRPr="006A0162" w:rsidP="006A0162">
      <w:pPr>
        <w:pStyle w:val="ListBullet"/>
      </w:pPr>
      <w:r w:rsidRPr="006A0162">
        <w:t>Access is required to materials, equipment and specifications relevant to identifying a sample.</w:t>
      </w:r>
    </w:p>
    <w:p w:rsidR="00000000" w:rsidRPr="006A0162" w:rsidP="006A0162">
      <w:pPr>
        <w:pStyle w:val="AllowPageBreak"/>
      </w:pPr>
    </w:p>
    <w:p w:rsidR="00000000" w:rsidRPr="006A0162" w:rsidP="006A0162">
      <w:pPr>
        <w:pStyle w:val="Heading1"/>
      </w:pPr>
      <w:bookmarkStart w:id="15" w:name="O_621157"/>
      <w:bookmarkEnd w:id="15"/>
      <w:r w:rsidRPr="006A0162">
        <w:t>Links</w:t>
      </w:r>
    </w:p>
    <w:p w:rsidR="00000000" w:rsidRPr="006A0162" w:rsidP="00050BB1">
      <w:pPr>
        <w:pStyle w:val="BodyText"/>
      </w:pPr>
      <w:r w:rsidRPr="006A0162">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413E98">
        <w:rPr>
          <w:rStyle w:val="Hyperlink"/>
        </w:rPr>
        <w:t>https://vetnet.gov.au/Pages/TrainingDocs.aspx?q=0601ab95-583a-4e93-b2d4-cfb27b03ed73</w:t>
      </w:r>
      <w:r>
        <w:fldChar w:fldCharType="end"/>
      </w:r>
    </w:p>
    <w:p w:rsidR="00000000" w:rsidRPr="006A0162" w:rsidP="006A0162"/>
    <w:sectPr w:rsidSect="006A016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1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162" w:rsidRPr="00050BB1" w:rsidP="00050B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1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BB1" w:rsidP="006A01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50BB1" w:rsidP="006A016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50BB1" w:rsidP="006A016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162" w:rsidP="006A0162">
    <w:pPr>
      <w:pStyle w:val="Footer"/>
      <w:framePr w:wrap="around"/>
    </w:pPr>
    <w:r>
      <w:fldChar w:fldCharType="begin"/>
    </w:r>
    <w:r>
      <w:instrText xml:space="preserve"> DOCPROPERTY  Subject  \* MERGEFORMAT </w:instrText>
    </w:r>
    <w:r>
      <w:fldChar w:fldCharType="separate"/>
    </w:r>
    <w:r w:rsidR="00050BB1">
      <w:t>Approved</w:t>
    </w:r>
    <w:r w:rsidR="00050BB1">
      <w:fldChar w:fldCharType="end"/>
    </w:r>
    <w:r>
      <w:tab/>
      <w:t xml:space="preserve">Page </w:t>
    </w:r>
    <w:r>
      <w:fldChar w:fldCharType="begin"/>
    </w:r>
    <w:r>
      <w:instrText xml:space="preserve"> PAGE  \* Arabic  \* MERGEFORMAT </w:instrText>
    </w:r>
    <w:r>
      <w:fldChar w:fldCharType="separate"/>
    </w:r>
    <w:r w:rsidR="00050BB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50BB1">
      <w:rPr>
        <w:noProof/>
      </w:rPr>
      <w:t>4</w:t>
    </w:r>
    <w:r>
      <w:rPr>
        <w:noProof/>
      </w:rPr>
      <w:fldChar w:fldCharType="end"/>
    </w:r>
  </w:p>
  <w:p w:rsidR="006A0162" w:rsidP="006A0162">
    <w:pPr>
      <w:pStyle w:val="Footer"/>
      <w:framePr w:wrap="around"/>
    </w:pPr>
    <w:r>
      <w:t xml:space="preserve">© Commonwealth of Australia, </w:t>
    </w:r>
    <w:r>
      <w:fldChar w:fldCharType="begin"/>
    </w:r>
    <w:r>
      <w:instrText xml:space="preserve"> DATE  \@ "yyyy"  \* MERGEFORMAT </w:instrText>
    </w:r>
    <w:r>
      <w:fldChar w:fldCharType="separate"/>
    </w:r>
    <w:r w:rsidR="00050BB1">
      <w:rPr>
        <w:noProof/>
      </w:rPr>
      <w:t>2025</w:t>
    </w:r>
    <w:r>
      <w:fldChar w:fldCharType="end"/>
    </w:r>
    <w:r>
      <w:tab/>
    </w:r>
    <w:r>
      <w:fldChar w:fldCharType="begin"/>
    </w:r>
    <w:r>
      <w:instrText xml:space="preserve"> DOCPROPERTY  Author  \* MERGEFORMAT </w:instrText>
    </w:r>
    <w:r>
      <w:fldChar w:fldCharType="separate"/>
    </w:r>
    <w:r w:rsidR="00050BB1">
      <w:t>Skills Insight</w:t>
    </w:r>
    <w:r w:rsidR="00050BB1">
      <w:fldChar w:fldCharType="end"/>
    </w:r>
  </w:p>
  <w:p w:rsidR="006A0162" w:rsidP="006A01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1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BB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0162" w:rsidRPr="00050BB1" w:rsidP="00050BB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1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BB1" w:rsidRPr="002D2AF8" w:rsidP="006A0162">
    <w:pPr>
      <w:pStyle w:val="Header"/>
      <w:framePr w:wrap="around"/>
    </w:pPr>
    <w:r>
      <w:fldChar w:fldCharType="begin"/>
    </w:r>
    <w:r>
      <w:instrText xml:space="preserve"> TITLE   \* MERGEFORMAT </w:instrText>
    </w:r>
    <w:r>
      <w:fldChar w:fldCharType="separate"/>
    </w:r>
    <w:r>
      <w:t>MSFSS2002 Prepare product for Australian Standards testing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50BB1" w:rsidP="006A016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162" w:rsidRPr="002D2AF8" w:rsidP="006A0162">
    <w:pPr>
      <w:pStyle w:val="Header"/>
      <w:framePr w:wrap="around"/>
    </w:pPr>
    <w:r>
      <w:fldChar w:fldCharType="begin"/>
    </w:r>
    <w:r>
      <w:instrText xml:space="preserve"> TITLE   \* MERGEFORMAT </w:instrText>
    </w:r>
    <w:r>
      <w:fldChar w:fldCharType="separate"/>
    </w:r>
    <w:r w:rsidR="00050BB1">
      <w:t>MSFSS2002 Prepare product for Australian Standards testing</w:t>
    </w:r>
    <w:r w:rsidR="00050BB1">
      <w:fldChar w:fldCharType="end"/>
    </w:r>
    <w:r>
      <w:tab/>
      <w:t xml:space="preserve">Date this document was generated: </w:t>
    </w:r>
    <w:r>
      <w:fldChar w:fldCharType="begin"/>
    </w:r>
    <w:r>
      <w:instrText xml:space="preserve"> CREATEDATE  \@ "d MMMM yyyy"  \* MERGEFORMAT </w:instrText>
    </w:r>
    <w:r>
      <w:fldChar w:fldCharType="separate"/>
    </w:r>
    <w:r w:rsidR="00050BB1">
      <w:rPr>
        <w:noProof/>
      </w:rPr>
      <w:t>2 March 2025</w:t>
    </w:r>
    <w:r>
      <w:fldChar w:fldCharType="end"/>
    </w:r>
  </w:p>
  <w:p w:rsidR="006A0162" w:rsidP="006A01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AC13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312EF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5A77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01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0162"/>
    <w:pPr>
      <w:spacing w:before="360" w:after="60"/>
      <w:outlineLvl w:val="0"/>
    </w:pPr>
    <w:rPr>
      <w:sz w:val="32"/>
    </w:rPr>
  </w:style>
  <w:style w:type="paragraph" w:styleId="Heading2">
    <w:name w:val="heading 2"/>
    <w:basedOn w:val="HeadingBase"/>
    <w:next w:val="BodyText"/>
    <w:link w:val="Heading2Char"/>
    <w:qFormat/>
    <w:rsid w:val="006A0162"/>
    <w:pPr>
      <w:keepLines/>
      <w:spacing w:before="240" w:after="120"/>
      <w:outlineLvl w:val="1"/>
    </w:pPr>
    <w:rPr>
      <w:sz w:val="28"/>
      <w:szCs w:val="40"/>
    </w:rPr>
  </w:style>
  <w:style w:type="paragraph" w:styleId="Heading3">
    <w:name w:val="heading 3"/>
    <w:basedOn w:val="HeadingBase"/>
    <w:next w:val="BodyText"/>
    <w:link w:val="Heading3Char"/>
    <w:qFormat/>
    <w:rsid w:val="006A0162"/>
    <w:pPr>
      <w:spacing w:before="180" w:after="120"/>
      <w:outlineLvl w:val="2"/>
    </w:pPr>
    <w:rPr>
      <w:spacing w:val="-10"/>
      <w:kern w:val="32"/>
    </w:rPr>
  </w:style>
  <w:style w:type="paragraph" w:styleId="Heading4">
    <w:name w:val="heading 4"/>
    <w:basedOn w:val="HeadingBase"/>
    <w:next w:val="BodyText"/>
    <w:link w:val="Heading4Char"/>
    <w:qFormat/>
    <w:rsid w:val="006A0162"/>
    <w:pPr>
      <w:spacing w:before="160" w:after="120"/>
      <w:outlineLvl w:val="3"/>
    </w:pPr>
    <w:rPr>
      <w:sz w:val="22"/>
    </w:rPr>
  </w:style>
  <w:style w:type="paragraph" w:styleId="Heading5">
    <w:name w:val="heading 5"/>
    <w:basedOn w:val="HeadingBase"/>
    <w:next w:val="Normal"/>
    <w:link w:val="Heading5Char"/>
    <w:qFormat/>
    <w:rsid w:val="006A0162"/>
    <w:pPr>
      <w:spacing w:before="80"/>
      <w:outlineLvl w:val="4"/>
    </w:pPr>
    <w:rPr>
      <w:color w:val="918585"/>
      <w:sz w:val="20"/>
    </w:rPr>
  </w:style>
  <w:style w:type="paragraph" w:styleId="Heading6">
    <w:name w:val="heading 6"/>
    <w:basedOn w:val="HeadingBase"/>
    <w:next w:val="Normal"/>
    <w:link w:val="Heading6Char"/>
    <w:qFormat/>
    <w:rsid w:val="006A0162"/>
    <w:pPr>
      <w:spacing w:before="60"/>
      <w:outlineLvl w:val="5"/>
    </w:pPr>
    <w:rPr>
      <w:color w:val="918585"/>
      <w:sz w:val="20"/>
    </w:rPr>
  </w:style>
  <w:style w:type="paragraph" w:styleId="Heading7">
    <w:name w:val="heading 7"/>
    <w:basedOn w:val="Normal"/>
    <w:next w:val="Normal"/>
    <w:link w:val="Heading7Char"/>
    <w:qFormat/>
    <w:rsid w:val="006A0162"/>
    <w:pPr>
      <w:ind w:left="720"/>
      <w:outlineLvl w:val="6"/>
    </w:pPr>
    <w:rPr>
      <w:i/>
    </w:rPr>
  </w:style>
  <w:style w:type="paragraph" w:styleId="Heading8">
    <w:name w:val="heading 8"/>
    <w:basedOn w:val="Normal"/>
    <w:next w:val="Normal"/>
    <w:link w:val="Heading8Char"/>
    <w:qFormat/>
    <w:rsid w:val="006A0162"/>
    <w:pPr>
      <w:ind w:left="720"/>
      <w:outlineLvl w:val="7"/>
    </w:pPr>
    <w:rPr>
      <w:i/>
    </w:rPr>
  </w:style>
  <w:style w:type="paragraph" w:styleId="Heading9">
    <w:name w:val="heading 9"/>
    <w:basedOn w:val="Normal"/>
    <w:next w:val="Normal"/>
    <w:link w:val="Heading9Char"/>
    <w:qFormat/>
    <w:rsid w:val="006A0162"/>
    <w:pPr>
      <w:ind w:left="720"/>
      <w:outlineLvl w:val="8"/>
    </w:pPr>
    <w:rPr>
      <w:i/>
    </w:rPr>
  </w:style>
  <w:style w:type="character" w:default="1" w:styleId="DefaultParagraphFont">
    <w:name w:val="Default Paragraph Font"/>
    <w:uiPriority w:val="1"/>
    <w:unhideWhenUsed/>
    <w:rsid w:val="006A01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0162"/>
  </w:style>
  <w:style w:type="character" w:customStyle="1" w:styleId="Heading1Char">
    <w:name w:val="Heading 1 Char"/>
    <w:basedOn w:val="DefaultParagraphFont"/>
    <w:link w:val="Heading1"/>
    <w:rsid w:val="006A0162"/>
    <w:rPr>
      <w:rFonts w:ascii="Times New Roman" w:eastAsia="Times New Roman" w:hAnsi="Times New Roman" w:cs="Times New Roman"/>
      <w:b/>
      <w:sz w:val="32"/>
      <w:szCs w:val="20"/>
      <w:lang w:eastAsia="en-US"/>
    </w:rPr>
  </w:style>
  <w:style w:type="paragraph" w:styleId="BodyText">
    <w:name w:val="Body Text"/>
    <w:basedOn w:val="Normal"/>
    <w:link w:val="BodyTextChar"/>
    <w:rsid w:val="006A016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0162"/>
    <w:rPr>
      <w:rFonts w:ascii="Times New Roman" w:eastAsia="Times New Roman" w:hAnsi="Times New Roman" w:cs="Times New Roman"/>
      <w:sz w:val="24"/>
      <w:lang w:eastAsia="en-US"/>
    </w:rPr>
  </w:style>
  <w:style w:type="paragraph" w:styleId="ListBullet">
    <w:name w:val="List Bullet"/>
    <w:basedOn w:val="List"/>
    <w:rsid w:val="006A0162"/>
    <w:pPr>
      <w:numPr>
        <w:numId w:val="12"/>
      </w:numPr>
      <w:tabs>
        <w:tab w:val="clear" w:pos="340"/>
      </w:tabs>
      <w:spacing w:before="40" w:after="40"/>
    </w:pPr>
  </w:style>
  <w:style w:type="character" w:customStyle="1" w:styleId="SpecialBold">
    <w:name w:val="Special Bold"/>
    <w:basedOn w:val="DefaultParagraphFont"/>
    <w:rsid w:val="006A0162"/>
    <w:rPr>
      <w:b/>
      <w:spacing w:val="0"/>
    </w:rPr>
  </w:style>
  <w:style w:type="paragraph" w:styleId="ListBullet2">
    <w:name w:val="List Bullet 2"/>
    <w:basedOn w:val="List2"/>
    <w:rsid w:val="006A0162"/>
    <w:pPr>
      <w:numPr>
        <w:numId w:val="13"/>
      </w:numPr>
      <w:tabs>
        <w:tab w:val="clear" w:pos="680"/>
      </w:tabs>
    </w:pPr>
  </w:style>
  <w:style w:type="paragraph" w:customStyle="1" w:styleId="SuperHeading">
    <w:name w:val="SuperHeading"/>
    <w:basedOn w:val="Normal"/>
    <w:rsid w:val="006A0162"/>
    <w:pPr>
      <w:spacing w:before="240" w:after="120"/>
      <w:outlineLvl w:val="0"/>
    </w:pPr>
    <w:rPr>
      <w:rFonts w:ascii="Times New Roman" w:hAnsi="Times New Roman"/>
      <w:b/>
      <w:sz w:val="32"/>
    </w:rPr>
  </w:style>
  <w:style w:type="paragraph" w:customStyle="1" w:styleId="AllowPageBreak">
    <w:name w:val="AllowPageBreak"/>
    <w:rsid w:val="006A01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A01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01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01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01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01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01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01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0162"/>
    <w:rPr>
      <w:rFonts w:ascii="Courier New" w:eastAsia="Times New Roman" w:hAnsi="Courier New" w:cs="Times New Roman"/>
      <w:i/>
      <w:szCs w:val="20"/>
      <w:lang w:eastAsia="en-US"/>
    </w:rPr>
  </w:style>
  <w:style w:type="paragraph" w:customStyle="1" w:styleId="HeadingBase">
    <w:name w:val="Heading Base"/>
    <w:rsid w:val="006A01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0162"/>
    <w:pPr>
      <w:tabs>
        <w:tab w:val="right" w:leader="dot" w:pos="9072"/>
      </w:tabs>
      <w:ind w:left="567"/>
    </w:pPr>
    <w:rPr>
      <w:szCs w:val="22"/>
    </w:rPr>
  </w:style>
  <w:style w:type="paragraph" w:customStyle="1" w:styleId="TOCBase">
    <w:name w:val="TOC Base"/>
    <w:rsid w:val="006A01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0162"/>
    <w:pPr>
      <w:tabs>
        <w:tab w:val="right" w:leader="dot" w:pos="9072"/>
      </w:tabs>
      <w:spacing w:before="40" w:after="40"/>
      <w:ind w:left="284"/>
    </w:pPr>
    <w:rPr>
      <w:rFonts w:ascii="Times New Roman" w:hAnsi="Times New Roman"/>
    </w:rPr>
  </w:style>
  <w:style w:type="paragraph" w:styleId="TOC1">
    <w:name w:val="toc 1"/>
    <w:basedOn w:val="TOCBase"/>
    <w:next w:val="Normal"/>
    <w:rsid w:val="006A01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01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0162"/>
    <w:rPr>
      <w:rFonts w:ascii="Times New Roman" w:eastAsia="Times New Roman" w:hAnsi="Times New Roman" w:cs="Times New Roman"/>
      <w:sz w:val="16"/>
      <w:lang w:eastAsia="en-US"/>
    </w:rPr>
  </w:style>
  <w:style w:type="paragraph" w:styleId="Title">
    <w:name w:val="Title"/>
    <w:basedOn w:val="HeadingBase"/>
    <w:link w:val="TitleChar"/>
    <w:qFormat/>
    <w:rsid w:val="006A0162"/>
    <w:pPr>
      <w:spacing w:before="5040"/>
      <w:jc w:val="center"/>
    </w:pPr>
    <w:rPr>
      <w:sz w:val="48"/>
      <w:szCs w:val="72"/>
      <w:lang w:val="en-US"/>
    </w:rPr>
  </w:style>
  <w:style w:type="character" w:customStyle="1" w:styleId="TitleChar">
    <w:name w:val="Title Char"/>
    <w:basedOn w:val="DefaultParagraphFont"/>
    <w:link w:val="Title"/>
    <w:rsid w:val="006A01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0162"/>
    <w:pPr>
      <w:tabs>
        <w:tab w:val="left" w:pos="3600"/>
        <w:tab w:val="left" w:pos="3958"/>
      </w:tabs>
    </w:pPr>
  </w:style>
  <w:style w:type="paragraph" w:styleId="List">
    <w:name w:val="List"/>
    <w:basedOn w:val="BodyText"/>
    <w:next w:val="BodyText"/>
    <w:rsid w:val="006A0162"/>
    <w:pPr>
      <w:tabs>
        <w:tab w:val="left" w:pos="340"/>
      </w:tabs>
      <w:spacing w:before="60" w:after="60"/>
      <w:ind w:left="340" w:hanging="340"/>
    </w:pPr>
  </w:style>
  <w:style w:type="paragraph" w:customStyle="1" w:styleId="Note">
    <w:name w:val="Note"/>
    <w:basedOn w:val="BodyText"/>
    <w:rsid w:val="006A01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0162"/>
    <w:pPr>
      <w:framePr w:wrap="auto" w:hAnchor="text" w:y="6049"/>
    </w:pPr>
    <w:rPr>
      <w:color w:val="000000"/>
      <w:sz w:val="40"/>
    </w:rPr>
  </w:style>
  <w:style w:type="paragraph" w:customStyle="1" w:styleId="TOCTitle">
    <w:name w:val="TOCTitle"/>
    <w:basedOn w:val="Heading1"/>
    <w:rsid w:val="006A0162"/>
    <w:pPr>
      <w:spacing w:after="240"/>
      <w:jc w:val="center"/>
      <w:outlineLvl w:val="9"/>
    </w:pPr>
    <w:rPr>
      <w:caps/>
    </w:rPr>
  </w:style>
  <w:style w:type="paragraph" w:customStyle="1" w:styleId="Version">
    <w:name w:val="Version"/>
    <w:rsid w:val="006A01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0162"/>
    <w:pPr>
      <w:keepNext w:val="0"/>
      <w:tabs>
        <w:tab w:val="right" w:pos="4176"/>
      </w:tabs>
      <w:ind w:left="198" w:hanging="198"/>
    </w:pPr>
    <w:rPr>
      <w:rFonts w:ascii="Garamond" w:hAnsi="Garamond"/>
    </w:rPr>
  </w:style>
  <w:style w:type="paragraph" w:styleId="IndexHeading">
    <w:name w:val="index heading"/>
    <w:basedOn w:val="Normal"/>
    <w:next w:val="Index1"/>
    <w:semiHidden/>
    <w:rsid w:val="006A0162"/>
    <w:pPr>
      <w:spacing w:before="120" w:after="120"/>
    </w:pPr>
    <w:rPr>
      <w:rFonts w:ascii="Arial" w:hAnsi="Arial"/>
      <w:b/>
      <w:color w:val="918585"/>
      <w:sz w:val="24"/>
    </w:rPr>
  </w:style>
  <w:style w:type="paragraph" w:styleId="Header">
    <w:name w:val="header"/>
    <w:basedOn w:val="Normal"/>
    <w:link w:val="HeaderChar"/>
    <w:rsid w:val="006A01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0162"/>
    <w:rPr>
      <w:rFonts w:ascii="Times New Roman" w:eastAsia="Times New Roman" w:hAnsi="Times New Roman" w:cs="Times New Roman"/>
      <w:sz w:val="16"/>
      <w:szCs w:val="20"/>
      <w:lang w:val="en-GB" w:eastAsia="en-US"/>
    </w:rPr>
  </w:style>
  <w:style w:type="paragraph" w:customStyle="1" w:styleId="Chapter">
    <w:name w:val="Chapter"/>
    <w:basedOn w:val="Normal"/>
    <w:rsid w:val="006A0162"/>
    <w:pPr>
      <w:spacing w:before="240"/>
    </w:pPr>
    <w:rPr>
      <w:rFonts w:ascii="Times New Roman" w:hAnsi="Times New Roman"/>
      <w:smallCaps/>
      <w:spacing w:val="80"/>
      <w:sz w:val="28"/>
    </w:rPr>
  </w:style>
  <w:style w:type="paragraph" w:customStyle="1" w:styleId="InChapter">
    <w:name w:val="InChapter"/>
    <w:basedOn w:val="Heading3"/>
    <w:rsid w:val="006A0162"/>
    <w:pPr>
      <w:spacing w:after="240"/>
      <w:outlineLvl w:val="9"/>
    </w:pPr>
    <w:rPr>
      <w:noProof/>
    </w:rPr>
  </w:style>
  <w:style w:type="paragraph" w:styleId="Index2">
    <w:name w:val="index 2"/>
    <w:basedOn w:val="Normal"/>
    <w:next w:val="Normal"/>
    <w:semiHidden/>
    <w:rsid w:val="006A0162"/>
    <w:pPr>
      <w:tabs>
        <w:tab w:val="right" w:pos="4176"/>
      </w:tabs>
      <w:ind w:left="568" w:hanging="284"/>
    </w:pPr>
    <w:rPr>
      <w:rFonts w:ascii="Garamond" w:hAnsi="Garamond"/>
    </w:rPr>
  </w:style>
  <w:style w:type="paragraph" w:customStyle="1" w:styleId="Byline">
    <w:name w:val="Byline"/>
    <w:rsid w:val="006A01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0162"/>
    <w:pPr>
      <w:tabs>
        <w:tab w:val="clear" w:pos="3600"/>
        <w:tab w:val="clear" w:pos="3958"/>
      </w:tabs>
      <w:jc w:val="right"/>
    </w:pPr>
  </w:style>
  <w:style w:type="character" w:styleId="Emphasis">
    <w:name w:val="Emphasis"/>
    <w:basedOn w:val="DefaultParagraphFont"/>
    <w:qFormat/>
    <w:rsid w:val="006A0162"/>
    <w:rPr>
      <w:i/>
    </w:rPr>
  </w:style>
  <w:style w:type="paragraph" w:styleId="Caption">
    <w:name w:val="caption"/>
    <w:basedOn w:val="BodyText"/>
    <w:next w:val="Normal"/>
    <w:qFormat/>
    <w:rsid w:val="006A0162"/>
    <w:pPr>
      <w:framePr w:w="2268" w:hSpace="181" w:vSpace="181" w:wrap="around" w:vAnchor="text" w:hAnchor="page" w:x="1135" w:y="285" w:anchorLock="1"/>
    </w:pPr>
    <w:rPr>
      <w:i/>
    </w:rPr>
  </w:style>
  <w:style w:type="paragraph" w:customStyle="1" w:styleId="MiniTOCTitle">
    <w:name w:val="MiniTOCTitle"/>
    <w:basedOn w:val="Heading4"/>
    <w:rsid w:val="006A0162"/>
    <w:pPr>
      <w:spacing w:before="240"/>
      <w:outlineLvl w:val="9"/>
    </w:pPr>
    <w:rPr>
      <w:noProof/>
      <w:sz w:val="24"/>
    </w:rPr>
  </w:style>
  <w:style w:type="paragraph" w:customStyle="1" w:styleId="MiniTOCItem">
    <w:name w:val="MiniTOCItem"/>
    <w:basedOn w:val="ListBullet"/>
    <w:rsid w:val="006A0162"/>
    <w:pPr>
      <w:numPr>
        <w:numId w:val="0"/>
      </w:numPr>
      <w:tabs>
        <w:tab w:val="right" w:leader="dot" w:pos="6521"/>
      </w:tabs>
      <w:spacing w:before="0" w:after="0"/>
    </w:pPr>
  </w:style>
  <w:style w:type="paragraph" w:customStyle="1" w:styleId="TOFTitle">
    <w:name w:val="TOFTitle"/>
    <w:basedOn w:val="TOCTitle"/>
    <w:rsid w:val="006A0162"/>
  </w:style>
  <w:style w:type="paragraph" w:styleId="TableofFigures">
    <w:name w:val="table of figures"/>
    <w:basedOn w:val="Normal"/>
    <w:next w:val="Normal"/>
    <w:semiHidden/>
    <w:rsid w:val="006A0162"/>
    <w:pPr>
      <w:tabs>
        <w:tab w:val="right" w:leader="dot" w:pos="9072"/>
      </w:tabs>
      <w:ind w:left="970" w:hanging="403"/>
    </w:pPr>
    <w:rPr>
      <w:rFonts w:ascii="Times New Roman" w:hAnsi="Times New Roman"/>
      <w:b/>
    </w:rPr>
  </w:style>
  <w:style w:type="paragraph" w:styleId="ListNumber">
    <w:name w:val="List Number"/>
    <w:basedOn w:val="List"/>
    <w:rsid w:val="006A0162"/>
    <w:pPr>
      <w:numPr>
        <w:numId w:val="15"/>
      </w:numPr>
      <w:tabs>
        <w:tab w:val="clear" w:pos="340"/>
      </w:tabs>
    </w:pPr>
  </w:style>
  <w:style w:type="character" w:customStyle="1" w:styleId="WingdingSymbols">
    <w:name w:val="Wingding Symbols"/>
    <w:rsid w:val="006A0162"/>
    <w:rPr>
      <w:rFonts w:ascii="Wingdings" w:hAnsi="Wingdings"/>
    </w:rPr>
  </w:style>
  <w:style w:type="paragraph" w:customStyle="1" w:styleId="TableHeading">
    <w:name w:val="Table Heading"/>
    <w:basedOn w:val="HeadingBase"/>
    <w:rsid w:val="006A0162"/>
    <w:pPr>
      <w:keepLines/>
      <w:pBdr>
        <w:bottom w:val="single" w:sz="6" w:space="1" w:color="918585"/>
      </w:pBdr>
      <w:spacing w:before="240"/>
    </w:pPr>
  </w:style>
  <w:style w:type="character" w:customStyle="1" w:styleId="HotSpot">
    <w:name w:val="HotSpot"/>
    <w:rsid w:val="006A0162"/>
    <w:rPr>
      <w:color w:val="0033CC"/>
      <w:u w:val="none"/>
    </w:rPr>
  </w:style>
  <w:style w:type="paragraph" w:customStyle="1" w:styleId="BodyTextRight">
    <w:name w:val="Body Text Right"/>
    <w:basedOn w:val="BodyText"/>
    <w:rsid w:val="006A0162"/>
    <w:pPr>
      <w:spacing w:before="0" w:after="0"/>
      <w:jc w:val="right"/>
    </w:pPr>
  </w:style>
  <w:style w:type="paragraph" w:styleId="Index3">
    <w:name w:val="index 3"/>
    <w:basedOn w:val="ListNumber2"/>
    <w:next w:val="Normal"/>
    <w:semiHidden/>
    <w:rsid w:val="006A0162"/>
    <w:pPr>
      <w:numPr>
        <w:numId w:val="0"/>
      </w:numPr>
      <w:tabs>
        <w:tab w:val="right" w:leader="dot" w:pos="4176"/>
      </w:tabs>
    </w:pPr>
  </w:style>
  <w:style w:type="paragraph" w:styleId="ListNumber2">
    <w:name w:val="List Number 2"/>
    <w:basedOn w:val="List2"/>
    <w:rsid w:val="006A0162"/>
    <w:pPr>
      <w:numPr>
        <w:numId w:val="10"/>
      </w:numPr>
      <w:tabs>
        <w:tab w:val="clear" w:pos="1060"/>
      </w:tabs>
    </w:pPr>
  </w:style>
  <w:style w:type="paragraph" w:customStyle="1" w:styleId="MarginNote">
    <w:name w:val="Margin Note"/>
    <w:basedOn w:val="BodyText"/>
    <w:rsid w:val="006A01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01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01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0162"/>
    <w:rPr>
      <w:sz w:val="32"/>
    </w:rPr>
  </w:style>
  <w:style w:type="paragraph" w:customStyle="1" w:styleId="HeadingProcedure">
    <w:name w:val="Heading Procedure"/>
    <w:basedOn w:val="HeadingBase"/>
    <w:next w:val="Normal"/>
    <w:rsid w:val="006A0162"/>
    <w:pPr>
      <w:tabs>
        <w:tab w:val="left" w:pos="0"/>
      </w:tabs>
      <w:spacing w:before="120" w:after="60"/>
    </w:pPr>
    <w:rPr>
      <w:i/>
      <w:color w:val="918585"/>
      <w:sz w:val="22"/>
    </w:rPr>
  </w:style>
  <w:style w:type="paragraph" w:customStyle="1" w:styleId="TableBodyText">
    <w:name w:val="Table Body Text"/>
    <w:basedOn w:val="BodyText"/>
    <w:rsid w:val="006A0162"/>
    <w:pPr>
      <w:spacing w:before="60" w:after="60"/>
    </w:pPr>
  </w:style>
  <w:style w:type="paragraph" w:styleId="ListContinue">
    <w:name w:val="List Continue"/>
    <w:basedOn w:val="List"/>
    <w:rsid w:val="006A0162"/>
    <w:pPr>
      <w:ind w:firstLine="0"/>
    </w:pPr>
  </w:style>
  <w:style w:type="paragraph" w:customStyle="1" w:styleId="ListNote">
    <w:name w:val="List Note"/>
    <w:basedOn w:val="List"/>
    <w:rsid w:val="006A0162"/>
    <w:pPr>
      <w:pBdr>
        <w:top w:val="single" w:sz="6" w:space="2" w:color="918585"/>
        <w:bottom w:val="single" w:sz="6" w:space="2" w:color="918585"/>
      </w:pBdr>
      <w:tabs>
        <w:tab w:val="left" w:pos="1021"/>
      </w:tabs>
      <w:ind w:firstLine="0"/>
    </w:pPr>
  </w:style>
  <w:style w:type="paragraph" w:customStyle="1" w:styleId="Warning">
    <w:name w:val="Warning"/>
    <w:basedOn w:val="BodyText"/>
    <w:rsid w:val="006A0162"/>
    <w:pPr>
      <w:shd w:val="clear" w:color="auto" w:fill="D9D9D9"/>
      <w:tabs>
        <w:tab w:val="left" w:pos="992"/>
      </w:tabs>
      <w:ind w:left="119" w:right="119"/>
    </w:pPr>
    <w:rPr>
      <w:sz w:val="20"/>
    </w:rPr>
  </w:style>
  <w:style w:type="paragraph" w:customStyle="1" w:styleId="MarginIcons">
    <w:name w:val="Margin Icons"/>
    <w:basedOn w:val="BodyText"/>
    <w:rsid w:val="006A01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0162"/>
    <w:rPr>
      <w:rFonts w:ascii="Courier New" w:hAnsi="Courier New"/>
    </w:rPr>
  </w:style>
  <w:style w:type="paragraph" w:customStyle="1" w:styleId="NoteBullet">
    <w:name w:val="Note Bullet"/>
    <w:basedOn w:val="Note"/>
    <w:rsid w:val="006A0162"/>
    <w:pPr>
      <w:tabs>
        <w:tab w:val="clear" w:pos="680"/>
      </w:tabs>
      <w:spacing w:before="60" w:after="60"/>
    </w:pPr>
  </w:style>
  <w:style w:type="paragraph" w:customStyle="1" w:styleId="SubHeading2">
    <w:name w:val="SubHeading2"/>
    <w:basedOn w:val="HeadingBase"/>
    <w:rsid w:val="006A0162"/>
    <w:pPr>
      <w:spacing w:before="240" w:after="60"/>
    </w:pPr>
    <w:rPr>
      <w:sz w:val="20"/>
    </w:rPr>
  </w:style>
  <w:style w:type="paragraph" w:customStyle="1" w:styleId="SubHeading1">
    <w:name w:val="SubHeading1"/>
    <w:basedOn w:val="HeadingBase"/>
    <w:rsid w:val="006A0162"/>
    <w:pPr>
      <w:spacing w:before="240" w:after="60"/>
    </w:pPr>
    <w:rPr>
      <w:color w:val="918585"/>
      <w:sz w:val="22"/>
    </w:rPr>
  </w:style>
  <w:style w:type="paragraph" w:customStyle="1" w:styleId="SideHeading">
    <w:name w:val="Side Heading"/>
    <w:basedOn w:val="HeadingBase"/>
    <w:rsid w:val="006A01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0162"/>
    <w:pPr>
      <w:tabs>
        <w:tab w:val="num" w:pos="360"/>
      </w:tabs>
    </w:pPr>
  </w:style>
  <w:style w:type="paragraph" w:styleId="PlainText">
    <w:name w:val="Plain Text"/>
    <w:basedOn w:val="Normal"/>
    <w:link w:val="PlainTextChar"/>
    <w:rsid w:val="006A0162"/>
    <w:rPr>
      <w:sz w:val="20"/>
    </w:rPr>
  </w:style>
  <w:style w:type="character" w:customStyle="1" w:styleId="PlainTextChar">
    <w:name w:val="Plain Text Char"/>
    <w:basedOn w:val="DefaultParagraphFont"/>
    <w:link w:val="PlainText"/>
    <w:rsid w:val="006A0162"/>
    <w:rPr>
      <w:rFonts w:ascii="Courier New" w:eastAsia="Times New Roman" w:hAnsi="Courier New" w:cs="Times New Roman"/>
      <w:sz w:val="20"/>
      <w:szCs w:val="20"/>
      <w:lang w:eastAsia="en-US"/>
    </w:rPr>
  </w:style>
  <w:style w:type="character" w:customStyle="1" w:styleId="MenuOption">
    <w:name w:val="Menu Option"/>
    <w:basedOn w:val="DefaultParagraphFont"/>
    <w:rsid w:val="006A0162"/>
    <w:rPr>
      <w:b/>
      <w:smallCaps/>
    </w:rPr>
  </w:style>
  <w:style w:type="paragraph" w:customStyle="1" w:styleId="TableListNumber">
    <w:name w:val="Table List Number"/>
    <w:basedOn w:val="ListNumber"/>
    <w:rsid w:val="006A0162"/>
    <w:pPr>
      <w:numPr>
        <w:numId w:val="0"/>
      </w:numPr>
    </w:pPr>
  </w:style>
  <w:style w:type="paragraph" w:styleId="TOC4">
    <w:name w:val="toc 4"/>
    <w:basedOn w:val="TOCBase"/>
    <w:next w:val="Normal"/>
    <w:semiHidden/>
    <w:rsid w:val="006A0162"/>
    <w:pPr>
      <w:tabs>
        <w:tab w:val="right" w:leader="dot" w:pos="9071"/>
      </w:tabs>
      <w:ind w:left="1701"/>
    </w:pPr>
  </w:style>
  <w:style w:type="paragraph" w:customStyle="1" w:styleId="ListAlpha">
    <w:name w:val="List Alpha"/>
    <w:basedOn w:val="List"/>
    <w:rsid w:val="006A0162"/>
    <w:pPr>
      <w:numPr>
        <w:numId w:val="9"/>
      </w:numPr>
    </w:pPr>
  </w:style>
  <w:style w:type="paragraph" w:customStyle="1" w:styleId="ListAlpha2">
    <w:name w:val="List Alpha 2"/>
    <w:basedOn w:val="List2"/>
    <w:rsid w:val="006A0162"/>
    <w:pPr>
      <w:numPr>
        <w:numId w:val="8"/>
      </w:numPr>
    </w:pPr>
  </w:style>
  <w:style w:type="paragraph" w:styleId="List2">
    <w:name w:val="List 2"/>
    <w:basedOn w:val="BodyText"/>
    <w:rsid w:val="006A0162"/>
    <w:pPr>
      <w:tabs>
        <w:tab w:val="left" w:pos="680"/>
      </w:tabs>
      <w:spacing w:before="60" w:after="60"/>
      <w:ind w:left="680" w:hanging="340"/>
    </w:pPr>
  </w:style>
  <w:style w:type="paragraph" w:styleId="List3">
    <w:name w:val="List 3"/>
    <w:basedOn w:val="BodyText"/>
    <w:rsid w:val="006A0162"/>
    <w:pPr>
      <w:tabs>
        <w:tab w:val="left" w:pos="1021"/>
      </w:tabs>
      <w:spacing w:before="60" w:after="60"/>
      <w:ind w:left="1020" w:hanging="340"/>
    </w:pPr>
  </w:style>
  <w:style w:type="paragraph" w:styleId="List4">
    <w:name w:val="List 4"/>
    <w:basedOn w:val="BodyText"/>
    <w:rsid w:val="006A0162"/>
    <w:pPr>
      <w:tabs>
        <w:tab w:val="left" w:pos="1361"/>
      </w:tabs>
      <w:spacing w:before="60" w:after="60"/>
      <w:ind w:left="1361" w:hanging="340"/>
    </w:pPr>
  </w:style>
  <w:style w:type="paragraph" w:styleId="List5">
    <w:name w:val="List 5"/>
    <w:basedOn w:val="BodyText"/>
    <w:rsid w:val="006A0162"/>
    <w:pPr>
      <w:tabs>
        <w:tab w:val="left" w:pos="1701"/>
      </w:tabs>
      <w:spacing w:before="60" w:after="60"/>
      <w:ind w:left="1701" w:hanging="340"/>
    </w:pPr>
  </w:style>
  <w:style w:type="paragraph" w:styleId="ListBullet3">
    <w:name w:val="List Bullet 3"/>
    <w:basedOn w:val="List3"/>
    <w:rsid w:val="006A0162"/>
    <w:pPr>
      <w:numPr>
        <w:numId w:val="14"/>
      </w:numPr>
      <w:tabs>
        <w:tab w:val="clear" w:pos="1021"/>
      </w:tabs>
      <w:ind w:left="1037" w:hanging="357"/>
    </w:pPr>
  </w:style>
  <w:style w:type="paragraph" w:styleId="ListBullet4">
    <w:name w:val="List Bullet 4"/>
    <w:basedOn w:val="List4"/>
    <w:rsid w:val="006A0162"/>
    <w:pPr>
      <w:numPr>
        <w:numId w:val="3"/>
      </w:numPr>
      <w:tabs>
        <w:tab w:val="clear" w:pos="1361"/>
      </w:tabs>
    </w:pPr>
  </w:style>
  <w:style w:type="paragraph" w:styleId="ListBullet5">
    <w:name w:val="List Bullet 5"/>
    <w:basedOn w:val="List5"/>
    <w:rsid w:val="006A0162"/>
    <w:pPr>
      <w:numPr>
        <w:numId w:val="4"/>
      </w:numPr>
    </w:pPr>
  </w:style>
  <w:style w:type="paragraph" w:styleId="ListContinue2">
    <w:name w:val="List Continue 2"/>
    <w:basedOn w:val="List2"/>
    <w:rsid w:val="006A0162"/>
    <w:pPr>
      <w:ind w:firstLine="0"/>
    </w:pPr>
  </w:style>
  <w:style w:type="paragraph" w:styleId="ListContinue3">
    <w:name w:val="List Continue 3"/>
    <w:basedOn w:val="List3"/>
    <w:rsid w:val="006A0162"/>
    <w:pPr>
      <w:ind w:left="1021" w:firstLine="0"/>
    </w:pPr>
  </w:style>
  <w:style w:type="paragraph" w:styleId="ListContinue4">
    <w:name w:val="List Continue 4"/>
    <w:basedOn w:val="List4"/>
    <w:rsid w:val="006A0162"/>
    <w:pPr>
      <w:ind w:firstLine="0"/>
    </w:pPr>
  </w:style>
  <w:style w:type="paragraph" w:styleId="ListContinue5">
    <w:name w:val="List Continue 5"/>
    <w:basedOn w:val="List5"/>
    <w:rsid w:val="006A0162"/>
    <w:pPr>
      <w:ind w:firstLine="0"/>
    </w:pPr>
  </w:style>
  <w:style w:type="paragraph" w:styleId="ListNumber3">
    <w:name w:val="List Number 3"/>
    <w:basedOn w:val="List3"/>
    <w:rsid w:val="006A0162"/>
    <w:pPr>
      <w:numPr>
        <w:numId w:val="5"/>
      </w:numPr>
    </w:pPr>
  </w:style>
  <w:style w:type="paragraph" w:styleId="ListNumber4">
    <w:name w:val="List Number 4"/>
    <w:basedOn w:val="List4"/>
    <w:rsid w:val="006A0162"/>
    <w:pPr>
      <w:numPr>
        <w:numId w:val="6"/>
      </w:numPr>
    </w:pPr>
  </w:style>
  <w:style w:type="paragraph" w:styleId="ListNumber5">
    <w:name w:val="List Number 5"/>
    <w:basedOn w:val="List5"/>
    <w:rsid w:val="006A0162"/>
    <w:pPr>
      <w:numPr>
        <w:numId w:val="7"/>
      </w:numPr>
    </w:pPr>
  </w:style>
  <w:style w:type="paragraph" w:styleId="BlockText">
    <w:name w:val="Block Text"/>
    <w:basedOn w:val="Normal"/>
    <w:rsid w:val="006A0162"/>
    <w:pPr>
      <w:spacing w:after="120"/>
      <w:ind w:left="1440" w:right="1440"/>
    </w:pPr>
  </w:style>
  <w:style w:type="character" w:customStyle="1" w:styleId="Subscript">
    <w:name w:val="Subscript"/>
    <w:basedOn w:val="DefaultParagraphFont"/>
    <w:rsid w:val="006A0162"/>
    <w:rPr>
      <w:sz w:val="16"/>
      <w:vertAlign w:val="subscript"/>
    </w:rPr>
  </w:style>
  <w:style w:type="character" w:customStyle="1" w:styleId="Superscript">
    <w:name w:val="Superscript"/>
    <w:basedOn w:val="DefaultParagraphFont"/>
    <w:rsid w:val="006A0162"/>
    <w:rPr>
      <w:sz w:val="16"/>
      <w:vertAlign w:val="superscript"/>
    </w:rPr>
  </w:style>
  <w:style w:type="character" w:customStyle="1" w:styleId="Symbols">
    <w:name w:val="Symbols"/>
    <w:basedOn w:val="DefaultParagraphFont"/>
    <w:rsid w:val="006A0162"/>
    <w:rPr>
      <w:rFonts w:ascii="Symbol" w:hAnsi="Symbol"/>
    </w:rPr>
  </w:style>
  <w:style w:type="character" w:customStyle="1" w:styleId="MenuOptions">
    <w:name w:val="Menu Options"/>
    <w:basedOn w:val="DefaultParagraphFont"/>
    <w:rsid w:val="006A0162"/>
    <w:rPr>
      <w:rFonts w:ascii="Arial Narrow" w:hAnsi="Arial Narrow"/>
      <w:smallCaps/>
    </w:rPr>
  </w:style>
  <w:style w:type="character" w:customStyle="1" w:styleId="Buttons">
    <w:name w:val="Buttons"/>
    <w:basedOn w:val="DefaultParagraphFont"/>
    <w:rsid w:val="006A0162"/>
    <w:rPr>
      <w:b/>
    </w:rPr>
  </w:style>
  <w:style w:type="character" w:customStyle="1" w:styleId="Underlined">
    <w:name w:val="Underlined"/>
    <w:basedOn w:val="DefaultParagraphFont"/>
    <w:rsid w:val="006A0162"/>
    <w:rPr>
      <w:u w:val="single"/>
    </w:rPr>
  </w:style>
  <w:style w:type="paragraph" w:customStyle="1" w:styleId="TableBodyTextRight">
    <w:name w:val="Table Body Text Right"/>
    <w:basedOn w:val="TableBodyText"/>
    <w:rsid w:val="006A0162"/>
    <w:pPr>
      <w:widowControl w:val="0"/>
      <w:autoSpaceDE w:val="0"/>
      <w:autoSpaceDN w:val="0"/>
      <w:adjustRightInd w:val="0"/>
      <w:jc w:val="right"/>
    </w:pPr>
    <w:rPr>
      <w:rFonts w:cs="Arial"/>
      <w:szCs w:val="18"/>
    </w:rPr>
  </w:style>
  <w:style w:type="paragraph" w:customStyle="1" w:styleId="CopyrightText">
    <w:name w:val="Copyright Text"/>
    <w:basedOn w:val="BodyText"/>
    <w:rsid w:val="006A0162"/>
    <w:rPr>
      <w:sz w:val="18"/>
    </w:rPr>
  </w:style>
  <w:style w:type="paragraph" w:customStyle="1" w:styleId="BodySmallRight">
    <w:name w:val="Body Small Right"/>
    <w:basedOn w:val="BodyTextRight"/>
    <w:rsid w:val="006A0162"/>
    <w:rPr>
      <w:sz w:val="18"/>
      <w:szCs w:val="18"/>
    </w:rPr>
  </w:style>
  <w:style w:type="paragraph" w:customStyle="1" w:styleId="MarginEdition">
    <w:name w:val="Margin Edition"/>
    <w:basedOn w:val="MarginNote"/>
    <w:rsid w:val="006A0162"/>
    <w:pPr>
      <w:spacing w:before="0" w:after="0"/>
    </w:pPr>
    <w:rPr>
      <w:rFonts w:ascii="Times New Roman" w:hAnsi="Times New Roman"/>
      <w:color w:val="999999"/>
    </w:rPr>
  </w:style>
  <w:style w:type="paragraph" w:customStyle="1" w:styleId="Spacer">
    <w:name w:val="Spacer"/>
    <w:basedOn w:val="Normal"/>
    <w:rsid w:val="006A0162"/>
    <w:rPr>
      <w:sz w:val="2"/>
      <w:szCs w:val="2"/>
    </w:rPr>
  </w:style>
  <w:style w:type="character" w:customStyle="1" w:styleId="Small">
    <w:name w:val="Small"/>
    <w:basedOn w:val="DefaultParagraphFont"/>
    <w:rsid w:val="006A0162"/>
    <w:rPr>
      <w:sz w:val="16"/>
    </w:rPr>
  </w:style>
  <w:style w:type="paragraph" w:customStyle="1" w:styleId="WideTable">
    <w:name w:val="Wide Table"/>
    <w:basedOn w:val="Normal"/>
    <w:rsid w:val="006A0162"/>
    <w:pPr>
      <w:ind w:left="-1418"/>
    </w:pPr>
    <w:rPr>
      <w:sz w:val="2"/>
      <w:szCs w:val="2"/>
    </w:rPr>
  </w:style>
  <w:style w:type="character" w:styleId="PageNumber">
    <w:name w:val="page number"/>
    <w:basedOn w:val="DefaultParagraphFont"/>
    <w:rsid w:val="006A0162"/>
  </w:style>
  <w:style w:type="paragraph" w:styleId="Quote">
    <w:name w:val="Quote"/>
    <w:basedOn w:val="Heading1"/>
    <w:link w:val="QuoteChar"/>
    <w:qFormat/>
    <w:rsid w:val="006A0162"/>
    <w:rPr>
      <w:b w:val="0"/>
      <w:sz w:val="72"/>
      <w:szCs w:val="72"/>
      <w:lang w:val="en-NZ"/>
    </w:rPr>
  </w:style>
  <w:style w:type="character" w:customStyle="1" w:styleId="QuoteChar">
    <w:name w:val="Quote Char"/>
    <w:basedOn w:val="DefaultParagraphFont"/>
    <w:link w:val="Quote"/>
    <w:rsid w:val="006A01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0162"/>
    <w:pPr>
      <w:pageBreakBefore/>
    </w:pPr>
  </w:style>
  <w:style w:type="paragraph" w:customStyle="1" w:styleId="Border">
    <w:name w:val="Border"/>
    <w:basedOn w:val="Normal"/>
    <w:qFormat/>
    <w:rsid w:val="006A01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0162"/>
    <w:rPr>
      <w:b/>
      <w:bCs/>
      <w:i/>
      <w:iCs/>
      <w:color w:val="auto"/>
    </w:rPr>
  </w:style>
  <w:style w:type="paragraph" w:styleId="IntenseQuote">
    <w:name w:val="Intense Quote"/>
    <w:basedOn w:val="Normal"/>
    <w:next w:val="Normal"/>
    <w:link w:val="IntenseQuoteChar"/>
    <w:uiPriority w:val="30"/>
    <w:qFormat/>
    <w:rsid w:val="006A01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01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0162"/>
    <w:rPr>
      <w:smallCaps/>
      <w:color w:val="auto"/>
      <w:u w:val="single"/>
    </w:rPr>
  </w:style>
  <w:style w:type="character" w:styleId="IntenseReference">
    <w:name w:val="Intense Reference"/>
    <w:basedOn w:val="DefaultParagraphFont"/>
    <w:uiPriority w:val="32"/>
    <w:qFormat/>
    <w:rsid w:val="006A0162"/>
    <w:rPr>
      <w:b/>
      <w:bCs/>
      <w:smallCaps/>
      <w:color w:val="auto"/>
      <w:spacing w:val="5"/>
      <w:u w:val="single"/>
    </w:rPr>
  </w:style>
  <w:style w:type="paragraph" w:customStyle="1" w:styleId="2ColumnHeading">
    <w:name w:val="2Column Heading"/>
    <w:basedOn w:val="BodyText"/>
    <w:qFormat/>
    <w:rsid w:val="006A0162"/>
    <w:pPr>
      <w:spacing w:after="60"/>
      <w:ind w:left="-2268"/>
    </w:pPr>
    <w:rPr>
      <w:b/>
    </w:rPr>
  </w:style>
  <w:style w:type="paragraph" w:customStyle="1" w:styleId="Heading1TOC">
    <w:name w:val="Heading1 TOC"/>
    <w:basedOn w:val="Normal"/>
    <w:qFormat/>
    <w:rsid w:val="006A0162"/>
    <w:pPr>
      <w:spacing w:before="240" w:after="120"/>
    </w:pPr>
    <w:rPr>
      <w:rFonts w:ascii="Times New Roman" w:hAnsi="Times New Roman"/>
      <w:b/>
      <w:sz w:val="32"/>
    </w:rPr>
  </w:style>
  <w:style w:type="paragraph" w:customStyle="1" w:styleId="Heading2TOC">
    <w:name w:val="Heading2 TOC"/>
    <w:basedOn w:val="Normal"/>
    <w:qFormat/>
    <w:rsid w:val="006A0162"/>
    <w:pPr>
      <w:spacing w:before="240" w:after="60"/>
    </w:pPr>
    <w:rPr>
      <w:rFonts w:ascii="Times New Roman" w:hAnsi="Times New Roman"/>
      <w:b/>
      <w:sz w:val="28"/>
    </w:rPr>
  </w:style>
  <w:style w:type="character" w:customStyle="1" w:styleId="Underline">
    <w:name w:val="Underline"/>
    <w:basedOn w:val="DefaultParagraphFont"/>
    <w:qFormat/>
    <w:rsid w:val="006A0162"/>
    <w:rPr>
      <w:u w:val="single"/>
    </w:rPr>
  </w:style>
  <w:style w:type="character" w:customStyle="1" w:styleId="BoldandItalics">
    <w:name w:val="Bold and Italics"/>
    <w:qFormat/>
    <w:rsid w:val="006A0162"/>
    <w:rPr>
      <w:b/>
      <w:i/>
      <w:u w:val="none"/>
    </w:rPr>
  </w:style>
  <w:style w:type="paragraph" w:styleId="BalloonText">
    <w:name w:val="Balloon Text"/>
    <w:basedOn w:val="Normal"/>
    <w:link w:val="BalloonTextChar"/>
    <w:rsid w:val="006A0162"/>
    <w:rPr>
      <w:rFonts w:ascii="Tahoma" w:hAnsi="Tahoma" w:cs="Tahoma"/>
      <w:sz w:val="16"/>
      <w:szCs w:val="16"/>
    </w:rPr>
  </w:style>
  <w:style w:type="character" w:customStyle="1" w:styleId="BalloonTextChar">
    <w:name w:val="Balloon Text Char"/>
    <w:basedOn w:val="DefaultParagraphFont"/>
    <w:link w:val="BalloonText"/>
    <w:rsid w:val="006A01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016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01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0162"/>
    <w:rPr>
      <w:b/>
      <w:color w:val="660033"/>
      <w:spacing w:val="0"/>
    </w:rPr>
  </w:style>
  <w:style w:type="paragraph" w:customStyle="1" w:styleId="Nameditemlist">
    <w:name w:val="Named item list"/>
    <w:basedOn w:val="BodyText"/>
    <w:qFormat/>
    <w:rsid w:val="006A0162"/>
    <w:pPr>
      <w:tabs>
        <w:tab w:val="left" w:pos="2835"/>
      </w:tabs>
      <w:ind w:left="2835" w:hanging="2835"/>
    </w:pPr>
  </w:style>
  <w:style w:type="paragraph" w:customStyle="1" w:styleId="BodyTextnopadding">
    <w:name w:val="Body Text no padding"/>
    <w:basedOn w:val="BodyText"/>
    <w:qFormat/>
    <w:rsid w:val="006A0162"/>
    <w:pPr>
      <w:spacing w:before="0" w:after="0"/>
    </w:pPr>
  </w:style>
  <w:style w:type="paragraph" w:customStyle="1" w:styleId="BodyTextBold">
    <w:name w:val="Body Text Bold"/>
    <w:basedOn w:val="BodyText"/>
    <w:qFormat/>
    <w:rsid w:val="006A0162"/>
    <w:rPr>
      <w:b/>
    </w:rPr>
  </w:style>
  <w:style w:type="character" w:styleId="Hyperlink">
    <w:name w:val="Hyperlink"/>
    <w:basedOn w:val="DefaultParagraphFont"/>
    <w:uiPriority w:val="99"/>
    <w:unhideWhenUsed/>
    <w:rsid w:val="00050BB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1043</Words>
  <Characters>6899</Characters>
  <Application>Microsoft Office Word</Application>
  <DocSecurity>0</DocSecurity>
  <Lines>209</Lines>
  <Paragraphs>116</Paragraphs>
  <ScaleCrop>false</ScaleCrop>
  <Company>Author-it Software Corporation Ltd.</Company>
  <LinksUpToDate>false</LinksUpToDate>
  <CharactersWithSpaces>7826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MSFSS2002 Prepare product for Australian Standards testing</dc:title>
  <dc:subject>Approved</dc:subject>
  <dc:creator>Skills Insight</dc:creator>
  <cp:keywords>Release: 1</cp:keywords>
  <dc:description>Review Date: 12 April 2008</dc:description>
  <cp:lastModifiedBy>HSD_TPCMSd.prod</cp:lastModifiedBy>
  <cp:revision>3</cp:revision>
  <dcterms:created xsi:type="dcterms:W3CDTF">2025-03-02T00:28:00Z</dcterms:created>
  <dcterms:modified xsi:type="dcterms:W3CDTF">2025-03-02T00:28:00Z</dcterms:modified>
</cp:coreProperties>
</file>