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4EC2" w:rsidP="00054E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MSFSL5005 Apply innovation in contemporary leadlight and stained glass</w:t>
      </w:r>
      <w:r>
        <w:fldChar w:fldCharType="end"/>
      </w:r>
    </w:p>
    <w:p w:rsidR="00054EC2" w:rsidP="00054EC2">
      <w:pPr>
        <w:pStyle w:val="Version"/>
        <w:sectPr w:rsidSect="00C67E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7E5C" w:rsidP="00C67E5C">
      <w:pPr>
        <w:pStyle w:val="SuperHeading"/>
      </w:pPr>
      <w:r w:rsidRPr="00C67E5C">
        <w:t>Assessment Requirements for MSFSL5005 Apply innovation in contemporary leadlight and stained glass</w:t>
      </w:r>
    </w:p>
    <w:p w:rsidR="00000000" w:rsidRPr="00C67E5C" w:rsidP="00C67E5C">
      <w:pPr>
        <w:pStyle w:val="Heading1"/>
      </w:pPr>
      <w:bookmarkStart w:id="1" w:name="O_621636"/>
      <w:bookmarkEnd w:id="1"/>
      <w:r w:rsidRPr="00C67E5C">
        <w:t>Modification History</w:t>
      </w:r>
    </w:p>
    <w:p w:rsidR="00000000" w:rsidRPr="00C67E5C" w:rsidP="00054EC2">
      <w:pPr>
        <w:pStyle w:val="BodyText"/>
      </w:pPr>
      <w:r w:rsidRPr="00C67E5C">
        <w:t>Release 1 - New unit of competency</w:t>
      </w:r>
    </w:p>
    <w:p w:rsidR="00000000" w:rsidRPr="00C67E5C" w:rsidP="00C67E5C">
      <w:pPr>
        <w:pStyle w:val="Heading1"/>
      </w:pPr>
      <w:bookmarkStart w:id="2" w:name="O_621639"/>
      <w:bookmarkEnd w:id="2"/>
      <w:r w:rsidRPr="00C67E5C">
        <w:t>Performance Evidence</w:t>
      </w:r>
    </w:p>
    <w:p w:rsidR="00000000" w:rsidRPr="00C67E5C" w:rsidP="00C67E5C">
      <w:pPr>
        <w:pStyle w:val="ListBullet"/>
      </w:pPr>
      <w:r w:rsidRPr="00C67E5C">
        <w:t>Interpret work o</w:t>
      </w:r>
      <w:r w:rsidRPr="00C67E5C">
        <w:t xml:space="preserve">rder and locate and apply relevant information </w:t>
      </w:r>
    </w:p>
    <w:p w:rsidR="00000000" w:rsidRPr="00C67E5C" w:rsidP="00C67E5C">
      <w:pPr>
        <w:pStyle w:val="ListBullet"/>
      </w:pPr>
      <w:r w:rsidRPr="00C67E5C">
        <w:t xml:space="preserve">Apply safe handling requirements for equipment, products and materials, including use of personal protective equipment </w:t>
      </w:r>
    </w:p>
    <w:p w:rsidR="00000000" w:rsidRPr="00C67E5C" w:rsidP="00C67E5C">
      <w:pPr>
        <w:pStyle w:val="ListBullet"/>
      </w:pPr>
      <w:r w:rsidRPr="00C67E5C">
        <w:t xml:space="preserve">Identify materials used in the work process </w:t>
      </w:r>
    </w:p>
    <w:p w:rsidR="00000000" w:rsidRPr="00C67E5C" w:rsidP="00C67E5C">
      <w:pPr>
        <w:pStyle w:val="ListBullet"/>
      </w:pPr>
      <w:r w:rsidRPr="00C67E5C">
        <w:t>Follow work instructions, operating procedu</w:t>
      </w:r>
      <w:r w:rsidRPr="00C67E5C">
        <w:t xml:space="preserve">res and inspection processes to: </w:t>
      </w:r>
    </w:p>
    <w:p w:rsidR="00000000" w:rsidRPr="00C67E5C" w:rsidP="00C67E5C">
      <w:pPr>
        <w:pStyle w:val="ListBullet2"/>
      </w:pPr>
      <w:r w:rsidRPr="00C67E5C">
        <w:t xml:space="preserve">minimise the risk of injury to self or others </w:t>
      </w:r>
    </w:p>
    <w:p w:rsidR="00000000" w:rsidRPr="00C67E5C" w:rsidP="00C67E5C">
      <w:pPr>
        <w:pStyle w:val="ListBullet2"/>
      </w:pPr>
      <w:r w:rsidRPr="00C67E5C">
        <w:t xml:space="preserve">prevent damage to goods, equipment and products </w:t>
      </w:r>
    </w:p>
    <w:p w:rsidR="00000000" w:rsidRPr="00C67E5C" w:rsidP="00C67E5C">
      <w:pPr>
        <w:pStyle w:val="ListBullet2"/>
      </w:pPr>
      <w:r w:rsidRPr="00C67E5C">
        <w:t xml:space="preserve">maintain required production output and product quality </w:t>
      </w:r>
    </w:p>
    <w:p w:rsidR="00000000" w:rsidRPr="00C67E5C" w:rsidP="00C67E5C">
      <w:pPr>
        <w:pStyle w:val="ListBullet"/>
      </w:pPr>
      <w:r w:rsidRPr="00C67E5C">
        <w:t>Read and interpret design specifications and identify the propertie</w:t>
      </w:r>
      <w:r w:rsidRPr="00C67E5C">
        <w:t>s of leadlight and stained glass</w:t>
      </w:r>
    </w:p>
    <w:p w:rsidR="00000000" w:rsidRPr="00C67E5C" w:rsidP="00C67E5C">
      <w:pPr>
        <w:pStyle w:val="ListBullet"/>
      </w:pPr>
      <w:r w:rsidRPr="00C67E5C">
        <w:t>Conduct research into new and innovative applications of leadlight and stained glass and apply in-depth knowledge of a wide range of techniques and media that may be used and adapted for leadlight and stained glass</w:t>
      </w:r>
    </w:p>
    <w:p w:rsidR="00000000" w:rsidRPr="00C67E5C" w:rsidP="00C67E5C">
      <w:pPr>
        <w:pStyle w:val="ListBullet"/>
      </w:pPr>
      <w:r w:rsidRPr="00C67E5C">
        <w:t xml:space="preserve">Create at least two (2) panels using differing innovative leadlight and stained glass effects </w:t>
      </w:r>
    </w:p>
    <w:p w:rsidR="00000000" w:rsidRPr="00C67E5C" w:rsidP="00C67E5C">
      <w:pPr>
        <w:pStyle w:val="ListBullet"/>
      </w:pPr>
      <w:r w:rsidRPr="00C67E5C">
        <w:t xml:space="preserve">Assess the likely impact of various environmental effects on leadlight and stained glass </w:t>
      </w:r>
    </w:p>
    <w:p w:rsidR="00000000" w:rsidRPr="00C67E5C" w:rsidP="00C67E5C">
      <w:pPr>
        <w:pStyle w:val="ListBullet"/>
      </w:pPr>
      <w:r w:rsidRPr="00C67E5C">
        <w:t xml:space="preserve">Comply with legislation, regulations, standards, codes of practice and </w:t>
      </w:r>
      <w:r w:rsidRPr="00C67E5C">
        <w:t xml:space="preserve">established safe practices and procedures for leadlight and stained glass </w:t>
      </w:r>
    </w:p>
    <w:p w:rsidR="00000000" w:rsidRPr="00C67E5C" w:rsidP="00C67E5C">
      <w:pPr>
        <w:pStyle w:val="ListBullet"/>
      </w:pPr>
      <w:r w:rsidRPr="00C67E5C">
        <w:t xml:space="preserve">Use mathematical ideas and techniques to correctly complete measurements, calculate area and estimate material requirements </w:t>
      </w:r>
    </w:p>
    <w:p w:rsidR="00000000" w:rsidRPr="00C67E5C" w:rsidP="00C67E5C">
      <w:pPr>
        <w:pStyle w:val="ListBullet"/>
      </w:pPr>
      <w:r w:rsidRPr="00C67E5C">
        <w:t>Communicate ideas and information to enable confirmation</w:t>
      </w:r>
      <w:r w:rsidRPr="00C67E5C">
        <w:t xml:space="preserve"> of work requirements and specifications and the reporting of work outcomes and problems, interpret basic plans and follow safety procedures </w:t>
      </w:r>
    </w:p>
    <w:p w:rsidR="00000000" w:rsidRPr="00C67E5C" w:rsidP="00C67E5C">
      <w:pPr>
        <w:pStyle w:val="ListBullet"/>
      </w:pPr>
      <w:r w:rsidRPr="00C67E5C">
        <w:t>Avoid backtracking, work flow interruptions or wastage</w:t>
      </w:r>
    </w:p>
    <w:p w:rsidR="00000000" w:rsidRPr="00C67E5C" w:rsidP="00C67E5C">
      <w:pPr>
        <w:pStyle w:val="ListBullet"/>
      </w:pPr>
      <w:r w:rsidRPr="00C67E5C">
        <w:t xml:space="preserve">Work with others and in a team by recognising dependencies </w:t>
      </w:r>
      <w:r w:rsidRPr="00C67E5C">
        <w:t>and using cooperative approaches to optimise work flow and productivity</w:t>
      </w:r>
    </w:p>
    <w:p w:rsidR="00000000" w:rsidRPr="00C67E5C" w:rsidP="00C67E5C">
      <w:pPr>
        <w:pStyle w:val="AllowPageBreak"/>
      </w:pPr>
    </w:p>
    <w:p w:rsidR="00000000" w:rsidRPr="00C67E5C" w:rsidP="00C67E5C">
      <w:pPr>
        <w:pStyle w:val="Heading1"/>
      </w:pPr>
      <w:bookmarkStart w:id="3" w:name="O_621638"/>
      <w:bookmarkEnd w:id="3"/>
      <w:r w:rsidRPr="00C67E5C">
        <w:t>Knowledge Evidence</w:t>
      </w:r>
    </w:p>
    <w:p w:rsidR="00000000" w:rsidRPr="00C67E5C" w:rsidP="00C67E5C">
      <w:pPr>
        <w:pStyle w:val="ListBullet"/>
      </w:pPr>
      <w:r w:rsidRPr="00C67E5C">
        <w:t xml:space="preserve">State or territory WHS legislation, regulations, standards and codes of practice relevant to the full range of processes for leadlight and stained </w:t>
      </w:r>
      <w:r w:rsidRPr="00C67E5C">
        <w:t>glass operations</w:t>
      </w:r>
    </w:p>
    <w:p w:rsidR="00000000" w:rsidRPr="00C67E5C" w:rsidP="00C67E5C">
      <w:pPr>
        <w:pStyle w:val="ListBullet"/>
      </w:pPr>
      <w:r w:rsidRPr="00C67E5C">
        <w:t>Contemporary leadlight and stained glass construction terminology and techniques</w:t>
      </w:r>
    </w:p>
    <w:p w:rsidR="00000000" w:rsidRPr="00C67E5C" w:rsidP="00C67E5C">
      <w:pPr>
        <w:pStyle w:val="ListBullet"/>
      </w:pPr>
      <w:r w:rsidRPr="00C67E5C">
        <w:t>Organisational and site standards, requirements, policies and procedures for preparation of leadlight and stained glass operations</w:t>
      </w:r>
    </w:p>
    <w:p w:rsidR="00000000" w:rsidRPr="00C67E5C" w:rsidP="00C67E5C">
      <w:pPr>
        <w:pStyle w:val="ListBullet"/>
      </w:pPr>
      <w:r w:rsidRPr="00C67E5C">
        <w:t>Types of glass and other ma</w:t>
      </w:r>
      <w:r w:rsidRPr="00C67E5C">
        <w:t>terials used in the leadlight and stained glass industry, their characteristics, properties, uses and limitations</w:t>
      </w:r>
    </w:p>
    <w:p w:rsidR="00000000" w:rsidRPr="00C67E5C" w:rsidP="00C67E5C">
      <w:pPr>
        <w:pStyle w:val="ListBullet"/>
      </w:pPr>
      <w:r w:rsidRPr="00C67E5C">
        <w:t>Appropriate innovative and experimental leadlight and stained glass production techniques in 2-D and 3-D formats</w:t>
      </w:r>
    </w:p>
    <w:p w:rsidR="00000000" w:rsidRPr="00C67E5C" w:rsidP="00C67E5C">
      <w:pPr>
        <w:pStyle w:val="ListBullet"/>
      </w:pPr>
      <w:r w:rsidRPr="00C67E5C">
        <w:t>Colour theory, line, dimensio</w:t>
      </w:r>
      <w:r w:rsidRPr="00C67E5C">
        <w:t>n, chiaroscuro, depth and their application to leadlight and stained glass</w:t>
      </w:r>
    </w:p>
    <w:p w:rsidR="00000000" w:rsidRPr="00C67E5C" w:rsidP="00C67E5C">
      <w:pPr>
        <w:pStyle w:val="ListBullet"/>
      </w:pPr>
      <w:r w:rsidRPr="00C67E5C">
        <w:t xml:space="preserve">Glass painting and firing techniques </w:t>
      </w:r>
    </w:p>
    <w:p w:rsidR="00000000" w:rsidRPr="00C67E5C" w:rsidP="00C67E5C">
      <w:pPr>
        <w:pStyle w:val="ListBullet"/>
      </w:pPr>
      <w:r w:rsidRPr="00C67E5C">
        <w:t>Use and properties of a range of paints and media for glass work</w:t>
      </w:r>
    </w:p>
    <w:p w:rsidR="00000000" w:rsidRPr="00C67E5C" w:rsidP="00C67E5C">
      <w:pPr>
        <w:pStyle w:val="ListBullet"/>
      </w:pPr>
      <w:r w:rsidRPr="00C67E5C">
        <w:t xml:space="preserve">Testing finished and unfinished materials used in innovative and contemporary </w:t>
      </w:r>
      <w:r w:rsidRPr="00C67E5C">
        <w:t xml:space="preserve">leadlight and stained glass </w:t>
      </w:r>
    </w:p>
    <w:p w:rsidR="00000000" w:rsidRPr="00C67E5C" w:rsidP="00C67E5C">
      <w:pPr>
        <w:pStyle w:val="ListBullet"/>
      </w:pPr>
      <w:r w:rsidRPr="00C67E5C">
        <w:t>Research skills and sources of information to inform research and experimentation on leadlight and stained glass</w:t>
      </w:r>
    </w:p>
    <w:p w:rsidR="00000000" w:rsidRPr="00C67E5C" w:rsidP="00C67E5C">
      <w:pPr>
        <w:pStyle w:val="ListBullet"/>
      </w:pPr>
      <w:r w:rsidRPr="00C67E5C">
        <w:t>Costs and costing processes for leadlight and stained glass elements</w:t>
      </w:r>
    </w:p>
    <w:p w:rsidR="00000000" w:rsidRPr="00C67E5C" w:rsidP="00C67E5C">
      <w:pPr>
        <w:pStyle w:val="ListBullet"/>
      </w:pPr>
      <w:r w:rsidRPr="00C67E5C">
        <w:t>Environmental protection requirements relatin</w:t>
      </w:r>
      <w:r w:rsidRPr="00C67E5C">
        <w:t>g to the disposal of waste material</w:t>
      </w:r>
    </w:p>
    <w:p w:rsidR="00000000" w:rsidRPr="00C67E5C" w:rsidP="00C67E5C">
      <w:pPr>
        <w:pStyle w:val="ListBullet"/>
      </w:pPr>
      <w:r w:rsidRPr="00C67E5C">
        <w:t>Established communication channels and protocols</w:t>
      </w:r>
    </w:p>
    <w:p w:rsidR="00000000" w:rsidRPr="00C67E5C" w:rsidP="00C67E5C">
      <w:pPr>
        <w:pStyle w:val="ListBullet"/>
      </w:pPr>
      <w:r w:rsidRPr="00C67E5C">
        <w:t xml:space="preserve">Relevant problem identification and resolution for innovative and contemporary leadlight and stained glass </w:t>
      </w:r>
    </w:p>
    <w:p w:rsidR="00000000" w:rsidRPr="00C67E5C" w:rsidP="00C67E5C">
      <w:pPr>
        <w:pStyle w:val="ListBullet"/>
      </w:pPr>
      <w:r w:rsidRPr="00C67E5C">
        <w:t>Storage systems and labelling</w:t>
      </w:r>
    </w:p>
    <w:p w:rsidR="00000000" w:rsidRPr="00C67E5C" w:rsidP="00C67E5C">
      <w:pPr>
        <w:pStyle w:val="ListBullet"/>
      </w:pPr>
      <w:r w:rsidRPr="00C67E5C">
        <w:t>Procedures for the recording, reporting and maintenance of workplace records and information</w:t>
      </w:r>
    </w:p>
    <w:p w:rsidR="00000000" w:rsidRPr="00C67E5C" w:rsidP="00C67E5C">
      <w:pPr>
        <w:pStyle w:val="AllowPageBreak"/>
      </w:pPr>
    </w:p>
    <w:p w:rsidR="00000000" w:rsidRPr="00C67E5C" w:rsidP="00C67E5C">
      <w:pPr>
        <w:pStyle w:val="Heading1"/>
      </w:pPr>
      <w:bookmarkStart w:id="4" w:name="O_621637"/>
      <w:bookmarkEnd w:id="4"/>
      <w:r w:rsidRPr="00C67E5C">
        <w:t>Assessment Conditions</w:t>
      </w:r>
    </w:p>
    <w:p w:rsidR="00000000" w:rsidRPr="00C67E5C" w:rsidP="00C67E5C">
      <w:pPr>
        <w:pStyle w:val="ListBullet"/>
      </w:pPr>
      <w:r w:rsidRPr="00C67E5C">
        <w:t>Assessors must:</w:t>
      </w:r>
    </w:p>
    <w:p w:rsidR="00000000" w:rsidRPr="00C67E5C" w:rsidP="00C67E5C">
      <w:pPr>
        <w:pStyle w:val="ListBullet2"/>
      </w:pPr>
      <w:r w:rsidRPr="00C67E5C">
        <w:t>hold training and assessment competencies as determined by the National Skills Standards Council (NSSC) or</w:t>
      </w:r>
      <w:r w:rsidRPr="00C67E5C">
        <w:t xml:space="preserve"> its successors</w:t>
      </w:r>
    </w:p>
    <w:p w:rsidR="00000000" w:rsidRPr="00C67E5C" w:rsidP="00C67E5C">
      <w:pPr>
        <w:pStyle w:val="ListBullet2"/>
      </w:pPr>
      <w:r w:rsidRPr="00C67E5C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C67E5C" w:rsidP="00C67E5C">
      <w:pPr>
        <w:pStyle w:val="ListBullet2"/>
      </w:pPr>
      <w:r w:rsidRPr="00C67E5C">
        <w:t>be familiar with the current skills and knowle</w:t>
      </w:r>
      <w:r w:rsidRPr="00C67E5C">
        <w:t>dge used and have relevant, current experience in the furnishing industry.</w:t>
      </w:r>
    </w:p>
    <w:p w:rsidR="00000000" w:rsidRPr="00C67E5C" w:rsidP="00C67E5C">
      <w:pPr>
        <w:pStyle w:val="ListBullet"/>
      </w:pPr>
      <w:r w:rsidRPr="00C67E5C">
        <w:t xml:space="preserve">Assessment methods must confirm consistency of performance over time rather than a single assessment event and in a range of workplace relevant contexts. </w:t>
      </w:r>
    </w:p>
    <w:p w:rsidR="00000000" w:rsidRPr="00C67E5C" w:rsidP="00C67E5C">
      <w:pPr>
        <w:pStyle w:val="ListBullet"/>
      </w:pPr>
      <w:r w:rsidRPr="00C67E5C">
        <w:t>Assessment must be by obs</w:t>
      </w:r>
      <w:r w:rsidRPr="00C67E5C">
        <w:t xml:space="preserve">ervation of relevant tasks with questioning on underpinning knowledge and, where applicable, multimedia evidence, supervisor’s reports, projects and work samples. </w:t>
      </w:r>
    </w:p>
    <w:p w:rsidR="00000000" w:rsidRPr="00C67E5C" w:rsidP="00C67E5C">
      <w:pPr>
        <w:pStyle w:val="ListBullet"/>
      </w:pPr>
      <w:r w:rsidRPr="00C67E5C">
        <w:t>Assessment is to be conducted on single units of competency or in conjunction with other rel</w:t>
      </w:r>
      <w:r w:rsidRPr="00C67E5C">
        <w:t>ated units of competency. Foundation skills are integral to competent performance in the unit and should not be assessed separately.</w:t>
      </w:r>
    </w:p>
    <w:p w:rsidR="00000000" w:rsidRPr="00C67E5C" w:rsidP="00C67E5C">
      <w:pPr>
        <w:pStyle w:val="ListBullet"/>
      </w:pPr>
      <w:r w:rsidRPr="00C67E5C">
        <w:t>Assessment must occur on the job or in a workplace simulated facility with relevant process, equipment, materials, work ins</w:t>
      </w:r>
      <w:r w:rsidRPr="00C67E5C">
        <w:t>tructions and deadlines.</w:t>
      </w:r>
    </w:p>
    <w:p w:rsidR="00000000" w:rsidRPr="00C67E5C" w:rsidP="00C67E5C">
      <w:pPr>
        <w:pStyle w:val="ListBullet"/>
      </w:pPr>
      <w:r w:rsidRPr="00C67E5C">
        <w:t>Access is required to materials and equipment relevant to the production of innovative leadlight and stained glass.</w:t>
      </w:r>
    </w:p>
    <w:p w:rsidR="00000000" w:rsidRPr="00C67E5C" w:rsidP="00C67E5C">
      <w:pPr>
        <w:pStyle w:val="AllowPageBreak"/>
      </w:pPr>
    </w:p>
    <w:p w:rsidR="00000000" w:rsidRPr="00C67E5C" w:rsidP="00C67E5C">
      <w:pPr>
        <w:pStyle w:val="Heading1"/>
      </w:pPr>
      <w:bookmarkStart w:id="5" w:name="O_621635"/>
      <w:bookmarkEnd w:id="5"/>
      <w:r w:rsidRPr="00C67E5C">
        <w:t>Links</w:t>
      </w:r>
    </w:p>
    <w:p w:rsidR="00000000" w:rsidRPr="00C67E5C" w:rsidP="00054EC2">
      <w:pPr>
        <w:pStyle w:val="BodyText"/>
      </w:pPr>
      <w:r w:rsidRPr="00C67E5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"https://vetnet.education.gov.au/Pages/TrainingDocs.aspx?q=0601ab95-583a-4e93-b2d4-cfb27b03ed73" </w:instrText>
      </w:r>
      <w:r>
        <w:fldChar w:fldCharType="separate"/>
      </w:r>
      <w:r w:rsidRPr="005D7FC3">
        <w:rPr>
          <w:rStyle w:val="Hyperlink"/>
        </w:rPr>
        <w:t>https://vetnet.education.gov.au/Pages/TrainingDocs.aspx?q=0601ab95-583a-4e93-b2d4-cfb27b03ed73</w:t>
      </w:r>
      <w:r>
        <w:fldChar w:fldCharType="end"/>
      </w:r>
    </w:p>
    <w:p w:rsidR="00000000" w:rsidRPr="00C67E5C" w:rsidP="00C67E5C"/>
    <w:sectPr w:rsidSect="00C67E5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E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E5C" w:rsidRPr="00054EC2" w:rsidP="00054E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E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EC2" w:rsidP="00C67E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4EC2" w:rsidP="00C67E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54EC2" w:rsidP="00C67E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E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E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7E5C" w:rsidRPr="00054EC2" w:rsidP="00054E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E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EC2" w:rsidRPr="002D2AF8" w:rsidP="00C67E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MSFSL5005 Apply innovation in contemporary leadlight and stained glass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054EC2" w:rsidP="00C67E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6E5F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B25D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C638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E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7E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7E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7E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7E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7E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7E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7E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7E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7E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7E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7E5C"/>
  </w:style>
  <w:style w:type="character" w:customStyle="1" w:styleId="Heading1Char">
    <w:name w:val="Heading 1 Char"/>
    <w:basedOn w:val="DefaultParagraphFont"/>
    <w:link w:val="Heading1"/>
    <w:rsid w:val="00C67E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7E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7E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7E5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67E5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67E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7E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7E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7E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7E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7E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7E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7E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7E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7E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7E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7E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7E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7E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7E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7E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7E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7E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7E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7E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7E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7E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67E5C"/>
    <w:rPr>
      <w:b/>
      <w:spacing w:val="0"/>
    </w:rPr>
  </w:style>
  <w:style w:type="paragraph" w:customStyle="1" w:styleId="SuperTitle">
    <w:name w:val="SuperTitle"/>
    <w:basedOn w:val="Title"/>
    <w:rsid w:val="00C67E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7E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7E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7E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7E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7E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7E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7E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7E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7E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7E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7E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7E5C"/>
    <w:rPr>
      <w:i/>
    </w:rPr>
  </w:style>
  <w:style w:type="paragraph" w:styleId="Caption">
    <w:name w:val="caption"/>
    <w:basedOn w:val="BodyText"/>
    <w:next w:val="Normal"/>
    <w:qFormat/>
    <w:rsid w:val="00C67E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7E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7E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7E5C"/>
  </w:style>
  <w:style w:type="paragraph" w:styleId="TableofFigures">
    <w:name w:val="table of figures"/>
    <w:basedOn w:val="Normal"/>
    <w:next w:val="Normal"/>
    <w:semiHidden/>
    <w:rsid w:val="00C67E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7E5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7E5C"/>
    <w:rPr>
      <w:rFonts w:ascii="Wingdings" w:hAnsi="Wingdings"/>
    </w:rPr>
  </w:style>
  <w:style w:type="paragraph" w:customStyle="1" w:styleId="TableHeading">
    <w:name w:val="Table Heading"/>
    <w:basedOn w:val="HeadingBase"/>
    <w:rsid w:val="00C67E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7E5C"/>
    <w:rPr>
      <w:color w:val="0033CC"/>
      <w:u w:val="none"/>
    </w:rPr>
  </w:style>
  <w:style w:type="paragraph" w:customStyle="1" w:styleId="BodyTextRight">
    <w:name w:val="Body Text Right"/>
    <w:basedOn w:val="BodyText"/>
    <w:rsid w:val="00C67E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7E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7E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7E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7E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7E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7E5C"/>
    <w:rPr>
      <w:sz w:val="32"/>
    </w:rPr>
  </w:style>
  <w:style w:type="paragraph" w:customStyle="1" w:styleId="HeadingProcedure">
    <w:name w:val="Heading Procedure"/>
    <w:basedOn w:val="HeadingBase"/>
    <w:next w:val="Normal"/>
    <w:rsid w:val="00C67E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7E5C"/>
    <w:pPr>
      <w:spacing w:before="60" w:after="60"/>
    </w:pPr>
  </w:style>
  <w:style w:type="paragraph" w:styleId="ListContinue">
    <w:name w:val="List Continue"/>
    <w:basedOn w:val="List"/>
    <w:rsid w:val="00C67E5C"/>
    <w:pPr>
      <w:ind w:firstLine="0"/>
    </w:pPr>
  </w:style>
  <w:style w:type="paragraph" w:customStyle="1" w:styleId="ListNote">
    <w:name w:val="List Note"/>
    <w:basedOn w:val="List"/>
    <w:rsid w:val="00C67E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7E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7E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7E5C"/>
    <w:rPr>
      <w:rFonts w:ascii="Courier New" w:hAnsi="Courier New"/>
    </w:rPr>
  </w:style>
  <w:style w:type="paragraph" w:customStyle="1" w:styleId="NoteBullet">
    <w:name w:val="Note Bullet"/>
    <w:basedOn w:val="Note"/>
    <w:rsid w:val="00C67E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7E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7E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7E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7E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7E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7E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7E5C"/>
    <w:rPr>
      <w:b/>
      <w:smallCaps/>
    </w:rPr>
  </w:style>
  <w:style w:type="paragraph" w:customStyle="1" w:styleId="TableListNumber">
    <w:name w:val="Table List Number"/>
    <w:basedOn w:val="ListNumber"/>
    <w:rsid w:val="00C67E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7E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7E5C"/>
    <w:pPr>
      <w:numPr>
        <w:numId w:val="9"/>
      </w:numPr>
    </w:pPr>
  </w:style>
  <w:style w:type="paragraph" w:customStyle="1" w:styleId="ListAlpha2">
    <w:name w:val="List Alpha 2"/>
    <w:basedOn w:val="List2"/>
    <w:rsid w:val="00C67E5C"/>
    <w:pPr>
      <w:numPr>
        <w:numId w:val="8"/>
      </w:numPr>
    </w:pPr>
  </w:style>
  <w:style w:type="paragraph" w:styleId="List2">
    <w:name w:val="List 2"/>
    <w:basedOn w:val="BodyText"/>
    <w:rsid w:val="00C67E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7E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7E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7E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7E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7E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7E5C"/>
    <w:pPr>
      <w:numPr>
        <w:numId w:val="4"/>
      </w:numPr>
    </w:pPr>
  </w:style>
  <w:style w:type="paragraph" w:styleId="ListContinue2">
    <w:name w:val="List Continue 2"/>
    <w:basedOn w:val="List2"/>
    <w:rsid w:val="00C67E5C"/>
    <w:pPr>
      <w:ind w:firstLine="0"/>
    </w:pPr>
  </w:style>
  <w:style w:type="paragraph" w:styleId="ListContinue3">
    <w:name w:val="List Continue 3"/>
    <w:basedOn w:val="List3"/>
    <w:rsid w:val="00C67E5C"/>
    <w:pPr>
      <w:ind w:left="1021" w:firstLine="0"/>
    </w:pPr>
  </w:style>
  <w:style w:type="paragraph" w:styleId="ListContinue4">
    <w:name w:val="List Continue 4"/>
    <w:basedOn w:val="List4"/>
    <w:rsid w:val="00C67E5C"/>
    <w:pPr>
      <w:ind w:firstLine="0"/>
    </w:pPr>
  </w:style>
  <w:style w:type="paragraph" w:styleId="ListContinue5">
    <w:name w:val="List Continue 5"/>
    <w:basedOn w:val="List5"/>
    <w:rsid w:val="00C67E5C"/>
    <w:pPr>
      <w:ind w:firstLine="0"/>
    </w:pPr>
  </w:style>
  <w:style w:type="paragraph" w:styleId="ListNumber3">
    <w:name w:val="List Number 3"/>
    <w:basedOn w:val="List3"/>
    <w:rsid w:val="00C67E5C"/>
    <w:pPr>
      <w:numPr>
        <w:numId w:val="5"/>
      </w:numPr>
    </w:pPr>
  </w:style>
  <w:style w:type="paragraph" w:styleId="ListNumber4">
    <w:name w:val="List Number 4"/>
    <w:basedOn w:val="List4"/>
    <w:rsid w:val="00C67E5C"/>
    <w:pPr>
      <w:numPr>
        <w:numId w:val="6"/>
      </w:numPr>
    </w:pPr>
  </w:style>
  <w:style w:type="paragraph" w:styleId="ListNumber5">
    <w:name w:val="List Number 5"/>
    <w:basedOn w:val="List5"/>
    <w:rsid w:val="00C67E5C"/>
    <w:pPr>
      <w:numPr>
        <w:numId w:val="7"/>
      </w:numPr>
    </w:pPr>
  </w:style>
  <w:style w:type="paragraph" w:styleId="BlockText">
    <w:name w:val="Block Text"/>
    <w:basedOn w:val="Normal"/>
    <w:rsid w:val="00C67E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7E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7E5C"/>
    <w:rPr>
      <w:sz w:val="16"/>
      <w:vertAlign w:val="superscript"/>
    </w:rPr>
  </w:style>
  <w:style w:type="character" w:customStyle="1" w:styleId="Symbols">
    <w:name w:val="Symbols"/>
    <w:basedOn w:val="DefaultParagraphFont"/>
    <w:rsid w:val="00C67E5C"/>
    <w:rPr>
      <w:rFonts w:ascii="Symbol" w:hAnsi="Symbol"/>
    </w:rPr>
  </w:style>
  <w:style w:type="character" w:customStyle="1" w:styleId="MenuOptions">
    <w:name w:val="Menu Options"/>
    <w:basedOn w:val="DefaultParagraphFont"/>
    <w:rsid w:val="00C67E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7E5C"/>
    <w:rPr>
      <w:b/>
    </w:rPr>
  </w:style>
  <w:style w:type="character" w:customStyle="1" w:styleId="Underlined">
    <w:name w:val="Underlined"/>
    <w:basedOn w:val="DefaultParagraphFont"/>
    <w:rsid w:val="00C67E5C"/>
    <w:rPr>
      <w:u w:val="single"/>
    </w:rPr>
  </w:style>
  <w:style w:type="paragraph" w:customStyle="1" w:styleId="TableBodyTextRight">
    <w:name w:val="Table Body Text Right"/>
    <w:basedOn w:val="TableBodyText"/>
    <w:rsid w:val="00C67E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7E5C"/>
    <w:rPr>
      <w:sz w:val="18"/>
    </w:rPr>
  </w:style>
  <w:style w:type="paragraph" w:customStyle="1" w:styleId="BodySmallRight">
    <w:name w:val="Body Small Right"/>
    <w:basedOn w:val="BodyTextRight"/>
    <w:rsid w:val="00C67E5C"/>
    <w:rPr>
      <w:sz w:val="18"/>
      <w:szCs w:val="18"/>
    </w:rPr>
  </w:style>
  <w:style w:type="paragraph" w:customStyle="1" w:styleId="MarginEdition">
    <w:name w:val="Margin Edition"/>
    <w:basedOn w:val="MarginNote"/>
    <w:rsid w:val="00C67E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7E5C"/>
    <w:rPr>
      <w:sz w:val="2"/>
      <w:szCs w:val="2"/>
    </w:rPr>
  </w:style>
  <w:style w:type="character" w:customStyle="1" w:styleId="Small">
    <w:name w:val="Small"/>
    <w:basedOn w:val="DefaultParagraphFont"/>
    <w:rsid w:val="00C67E5C"/>
    <w:rPr>
      <w:sz w:val="16"/>
    </w:rPr>
  </w:style>
  <w:style w:type="paragraph" w:customStyle="1" w:styleId="WideTable">
    <w:name w:val="Wide Table"/>
    <w:basedOn w:val="Normal"/>
    <w:rsid w:val="00C67E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7E5C"/>
  </w:style>
  <w:style w:type="paragraph" w:styleId="Quote">
    <w:name w:val="Quote"/>
    <w:basedOn w:val="Heading1"/>
    <w:link w:val="QuoteChar"/>
    <w:qFormat/>
    <w:rsid w:val="00C67E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7E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7E5C"/>
    <w:pPr>
      <w:pageBreakBefore/>
    </w:pPr>
  </w:style>
  <w:style w:type="paragraph" w:customStyle="1" w:styleId="Border">
    <w:name w:val="Border"/>
    <w:basedOn w:val="Normal"/>
    <w:qFormat/>
    <w:rsid w:val="00C67E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7E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7E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7E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7E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7E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7E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7E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7E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7E5C"/>
    <w:rPr>
      <w:u w:val="single"/>
    </w:rPr>
  </w:style>
  <w:style w:type="character" w:customStyle="1" w:styleId="BoldandItalics">
    <w:name w:val="Bold and Italics"/>
    <w:qFormat/>
    <w:rsid w:val="00C67E5C"/>
    <w:rPr>
      <w:b/>
      <w:i/>
      <w:u w:val="none"/>
    </w:rPr>
  </w:style>
  <w:style w:type="paragraph" w:styleId="BalloonText">
    <w:name w:val="Balloon Text"/>
    <w:basedOn w:val="Normal"/>
    <w:link w:val="BalloonTextChar"/>
    <w:rsid w:val="00C67E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7E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7E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7E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7E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7E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7E5C"/>
    <w:pPr>
      <w:spacing w:before="0" w:after="0"/>
    </w:pPr>
  </w:style>
  <w:style w:type="paragraph" w:customStyle="1" w:styleId="BodyTextBold">
    <w:name w:val="Body Text Bold"/>
    <w:basedOn w:val="BodyText"/>
    <w:qFormat/>
    <w:rsid w:val="00C67E5C"/>
    <w:rPr>
      <w:b/>
    </w:rPr>
  </w:style>
  <w:style w:type="character" w:styleId="Hyperlink">
    <w:name w:val="Hyperlink"/>
    <w:basedOn w:val="DefaultParagraphFont"/>
    <w:uiPriority w:val="99"/>
    <w:unhideWhenUsed/>
    <w:rsid w:val="00054E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685</Words>
  <Characters>4375</Characters>
  <Application>Microsoft Office Word</Application>
  <DocSecurity>0</DocSecurity>
  <Lines>93</Lines>
  <Paragraphs>60</Paragraphs>
  <ScaleCrop>false</ScaleCrop>
  <Company>Author-it Software Corporation Ltd.</Company>
  <LinksUpToDate>false</LinksUpToDate>
  <CharactersWithSpaces>5000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MSFSL5005 Apply innovation in contemporary leadlight and stained glass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2019-02-21T14:08:00Z</dcterms:created>
  <dcterms:modified xsi:type="dcterms:W3CDTF">2019-02-21T14:08:00Z</dcterms:modified>
</cp:coreProperties>
</file>