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C2E" w:rsidP="00CF5C2E">
      <w:pPr>
        <w:pStyle w:val="Title"/>
      </w:pPr>
      <w:r>
        <w:fldChar w:fldCharType="begin"/>
      </w:r>
      <w:r>
        <w:instrText xml:space="preserve"> TITLE   \* MERGEFORMAT </w:instrText>
      </w:r>
      <w:r>
        <w:fldChar w:fldCharType="separate"/>
      </w:r>
      <w:r>
        <w:t>MSFSL5003 Conserve heritage leadlight and stained glass</w:t>
      </w:r>
      <w:r>
        <w:fldChar w:fldCharType="end"/>
      </w:r>
    </w:p>
    <w:p w:rsidR="00CF5C2E" w:rsidP="00CF5C2E">
      <w:pPr>
        <w:pStyle w:val="Version"/>
        <w:sectPr w:rsidSect="00977C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7C1E" w:rsidP="00977C1E">
      <w:pPr>
        <w:pStyle w:val="SuperHeading"/>
      </w:pPr>
      <w:r w:rsidRPr="00977C1E">
        <w:t>MSFSL5003 Conserve heritage leadlight and stained glass</w:t>
      </w:r>
    </w:p>
    <w:p w:rsidR="00000000" w:rsidRPr="00977C1E" w:rsidP="00977C1E">
      <w:pPr>
        <w:pStyle w:val="Heading1"/>
      </w:pPr>
      <w:bookmarkStart w:id="1" w:name="O_621594"/>
      <w:bookmarkEnd w:id="1"/>
      <w:r w:rsidRPr="00977C1E">
        <w:t>Modification History</w:t>
      </w:r>
    </w:p>
    <w:p w:rsidR="00000000" w:rsidRPr="00977C1E" w:rsidP="00977C1E">
      <w:pPr>
        <w:pStyle w:val="BodyText"/>
      </w:pPr>
      <w:r w:rsidRPr="00977C1E">
        <w:t>Release 1 - New unit of competency</w:t>
      </w:r>
    </w:p>
    <w:p w:rsidR="00000000" w:rsidRPr="00977C1E" w:rsidP="00977C1E">
      <w:pPr>
        <w:pStyle w:val="AllowPageBreak"/>
      </w:pPr>
    </w:p>
    <w:p w:rsidR="00000000" w:rsidRPr="00977C1E" w:rsidP="00977C1E">
      <w:pPr>
        <w:pStyle w:val="Heading1"/>
      </w:pPr>
      <w:bookmarkStart w:id="2" w:name="O_621602"/>
      <w:bookmarkEnd w:id="2"/>
      <w:r w:rsidRPr="00977C1E">
        <w:t>Application</w:t>
      </w:r>
    </w:p>
    <w:p w:rsidR="00000000" w:rsidRPr="00977C1E" w:rsidP="00977C1E">
      <w:pPr>
        <w:pStyle w:val="BodyText"/>
      </w:pPr>
      <w:r w:rsidRPr="00977C1E">
        <w:t>This unit of competency covers conserving heritage leadlight and stained glass by preservation, restoration or reconstruction under the principles determined by th</w:t>
      </w:r>
      <w:r w:rsidRPr="00977C1E">
        <w:t>e Australia International Council on Monuments and Sites (ICOMOS) Burra Charter.</w:t>
      </w:r>
    </w:p>
    <w:p w:rsidR="00000000" w:rsidRPr="00977C1E" w:rsidP="00977C1E">
      <w:pPr>
        <w:pStyle w:val="BodyText"/>
      </w:pPr>
    </w:p>
    <w:p w:rsidR="00000000" w:rsidRPr="00977C1E" w:rsidP="00977C1E">
      <w:pPr>
        <w:pStyle w:val="BodyText"/>
      </w:pPr>
      <w:r w:rsidRPr="00977C1E">
        <w:t>Licensing, legislative or certification requirements may apply to this unit and relevant state/territory and local government agencies should be consulted to determine any ne</w:t>
      </w:r>
      <w:r w:rsidRPr="00977C1E">
        <w:t xml:space="preserve">cessary certification or licensing for undertaking glass and glazing work. Access to construction sites requires certification of general induction training specified by the </w:t>
      </w:r>
      <w:r w:rsidRPr="00977C1E">
        <w:rPr>
          <w:rStyle w:val="Emphasis"/>
        </w:rPr>
        <w:t>National Code of Practice for Induction for Construction Work (ASCC 2007)</w:t>
      </w:r>
      <w:r w:rsidRPr="00977C1E">
        <w:t>.</w:t>
      </w:r>
    </w:p>
    <w:p w:rsidR="00000000" w:rsidRPr="00977C1E" w:rsidP="00977C1E">
      <w:pPr>
        <w:pStyle w:val="AllowPageBreak"/>
      </w:pPr>
    </w:p>
    <w:p w:rsidR="00000000" w:rsidRPr="00977C1E" w:rsidP="00977C1E">
      <w:pPr>
        <w:pStyle w:val="Heading1"/>
      </w:pPr>
      <w:bookmarkStart w:id="3" w:name="O_621601"/>
      <w:bookmarkEnd w:id="3"/>
      <w:r w:rsidRPr="00977C1E">
        <w:t>Pre-requisite Unit</w:t>
      </w:r>
    </w:p>
    <w:p w:rsidR="00000000" w:rsidRPr="00977C1E" w:rsidP="00977C1E">
      <w:pPr>
        <w:pStyle w:val="Heading1"/>
      </w:pPr>
      <w:bookmarkStart w:id="4" w:name="O_621600"/>
      <w:bookmarkEnd w:id="4"/>
      <w:r w:rsidRPr="00977C1E">
        <w:t>Competency Field</w:t>
      </w:r>
    </w:p>
    <w:p w:rsidR="00000000" w:rsidRPr="00977C1E" w:rsidP="00977C1E">
      <w:pPr>
        <w:pStyle w:val="Heading1"/>
      </w:pPr>
      <w:bookmarkStart w:id="5" w:name="O_621599"/>
      <w:bookmarkEnd w:id="5"/>
      <w:r w:rsidRPr="00977C1E">
        <w:t>Unit Sector</w:t>
      </w:r>
    </w:p>
    <w:p w:rsidR="00000000" w:rsidRPr="00977C1E" w:rsidP="00977C1E">
      <w:pPr>
        <w:pStyle w:val="BodyText"/>
      </w:pPr>
      <w:r w:rsidRPr="00977C1E">
        <w:t>Leadlight and Stained Glass</w:t>
      </w:r>
    </w:p>
    <w:p w:rsidR="00000000" w:rsidRPr="00977C1E" w:rsidP="00977C1E">
      <w:pPr>
        <w:pStyle w:val="AllowPageBreak"/>
      </w:pPr>
    </w:p>
    <w:p w:rsidR="00000000" w:rsidRPr="00977C1E" w:rsidP="00977C1E">
      <w:pPr>
        <w:pStyle w:val="Heading1"/>
      </w:pPr>
      <w:bookmarkStart w:id="6" w:name="O_621598"/>
      <w:bookmarkEnd w:id="6"/>
      <w:r w:rsidRPr="00977C1E">
        <w:t>Elements and Performance Criteria</w:t>
      </w:r>
    </w:p>
    <w:tbl>
      <w:tblPr>
        <w:tblW w:w="9286" w:type="dxa"/>
        <w:tblLayout w:type="fixed"/>
        <w:tblCellMar>
          <w:left w:w="62" w:type="dxa"/>
          <w:right w:w="62" w:type="dxa"/>
        </w:tblCellMar>
        <w:tblLook w:val="0000"/>
      </w:tblPr>
      <w:tblGrid>
        <w:gridCol w:w="630"/>
        <w:gridCol w:w="2129"/>
        <w:gridCol w:w="661"/>
        <w:gridCol w:w="5866"/>
      </w:tblGrid>
      <w:tr w:rsidTr="00977C1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Performance criteria describe the performanc</w:t>
            </w:r>
            <w:r w:rsidRPr="00977C1E">
              <w:t>e needed to demonstrate achievement of the element.</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1</w:t>
            </w:r>
          </w:p>
        </w:tc>
        <w:tc>
          <w:tcPr>
            <w:tcW w:w="2129"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Identify conservation requirements</w:t>
            </w: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1.1</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 xml:space="preserve">Applicable work health and safety (WHS), legislative and organisational requirements relevant to leadlight and stained glass operations are </w:t>
            </w:r>
            <w:r w:rsidRPr="00977C1E">
              <w:t>verified and complied with</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1.2</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Detailed inspections of the heritage leadlight and stained glass are conducted to verify conservation requirements</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1.3</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 xml:space="preserve">Conservation requirements are identified, confirmed and clarified with appropriate personnel </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2</w:t>
            </w:r>
          </w:p>
        </w:tc>
        <w:tc>
          <w:tcPr>
            <w:tcW w:w="2129"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Plan conservation processes</w:t>
            </w: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2.1</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 xml:space="preserve">Conservation sequence is identified and a work plan is developed </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2.2</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Tools and equipment required for the conservation are identified</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2.3</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Approval of conservation plan is obtained as required by agreed procedures</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3</w:t>
            </w:r>
          </w:p>
        </w:tc>
        <w:tc>
          <w:tcPr>
            <w:tcW w:w="2129"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P</w:t>
            </w:r>
            <w:r w:rsidRPr="00977C1E">
              <w:t>repare for the conservation process</w:t>
            </w: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3.1</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Tools and equipment are positioned and checked prior to use to ensure they are appropriate for the task, serviceable and in a safe condition</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3.2</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Plans and other documents are positioned to allow for confirmation of the panel structure</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3.3</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 xml:space="preserve">Outline charcoal rubbings are made to confirm design during the process </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3.4</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Photographs are taken of the panel for later reference</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4</w:t>
            </w:r>
          </w:p>
        </w:tc>
        <w:tc>
          <w:tcPr>
            <w:tcW w:w="2129"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Conduct the conservat</w:t>
            </w:r>
            <w:r w:rsidRPr="00977C1E">
              <w:t>ion process</w:t>
            </w: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4.1</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Components requiring conservation are cleaned or disposed of</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4.2</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 xml:space="preserve">Decisions on conservation methods are confirmed </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4.3</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 xml:space="preserve">Replacement materials are selected and prepared </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4.4</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Measurements and tests are conducted to confirm conservation plan</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4.5</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 xml:space="preserve">Panel is assembled and checked against original data </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5</w:t>
            </w:r>
          </w:p>
        </w:tc>
        <w:tc>
          <w:tcPr>
            <w:tcW w:w="2129"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Finalise and report on the conservation process</w:t>
            </w: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5.1</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Conserved leadlight and stained glass panel is inspected for quality of wo</w:t>
            </w:r>
            <w:r w:rsidRPr="00977C1E">
              <w:t>rk and problems rectified</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5.2</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 xml:space="preserve">Tools and equipment are removed, cleaned and stored appropriately </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5.3</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Conservation area is cleaned and rubbish disposed of, as appropriate</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5.4</w:t>
            </w:r>
          </w:p>
        </w:tc>
        <w:tc>
          <w:tcPr>
            <w:tcW w:w="5866"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Panel is packaged and stored prior to movement and installation</w:t>
            </w:r>
          </w:p>
        </w:tc>
      </w:tr>
      <w:tr w:rsidTr="00977C1E">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5.5</w:t>
            </w:r>
          </w:p>
        </w:tc>
        <w:tc>
          <w:tcPr>
            <w:tcW w:w="5866" w:type="dxa"/>
            <w:tcBorders>
              <w:top w:val="nil"/>
              <w:left w:val="nil"/>
              <w:bottom w:val="nil"/>
              <w:right w:val="nil"/>
            </w:tcBorders>
            <w:tcMar>
              <w:top w:w="0" w:type="dxa"/>
              <w:left w:w="62" w:type="dxa"/>
              <w:bottom w:w="0" w:type="dxa"/>
              <w:right w:w="62" w:type="dxa"/>
            </w:tcMar>
          </w:tcPr>
          <w:p w:rsidR="00000000" w:rsidRPr="00977C1E" w:rsidP="00977C1E">
            <w:pPr>
              <w:pStyle w:val="BodyText"/>
            </w:pPr>
            <w:r w:rsidRPr="00977C1E">
              <w:t xml:space="preserve">Conservation report is prepared and provided, as required </w:t>
            </w:r>
          </w:p>
        </w:tc>
      </w:tr>
    </w:tbl>
    <w:p w:rsidR="00000000" w:rsidRPr="00977C1E" w:rsidP="00977C1E">
      <w:pPr>
        <w:pStyle w:val="BodyText"/>
      </w:pPr>
    </w:p>
    <w:p w:rsidR="00000000" w:rsidRPr="00977C1E" w:rsidP="00977C1E">
      <w:pPr>
        <w:pStyle w:val="AllowPageBreak"/>
      </w:pPr>
    </w:p>
    <w:p w:rsidR="00000000" w:rsidRPr="00977C1E" w:rsidP="00977C1E">
      <w:pPr>
        <w:pStyle w:val="Heading1"/>
      </w:pPr>
      <w:bookmarkStart w:id="7" w:name="O_621597"/>
      <w:bookmarkEnd w:id="7"/>
      <w:r w:rsidRPr="00977C1E">
        <w:t>Foundation Skills</w:t>
      </w:r>
    </w:p>
    <w:p w:rsidR="00000000" w:rsidRPr="00977C1E" w:rsidP="00977C1E">
      <w:pPr>
        <w:pStyle w:val="BodyText"/>
      </w:pPr>
      <w:r w:rsidRPr="00977C1E">
        <w:t xml:space="preserve">Foundation skills essential to performance are explicit in the performance criteria of this unit of competency. Detail on appropriate performance </w:t>
      </w:r>
      <w:r w:rsidRPr="00977C1E">
        <w:t>levels for each furnishing unit of competency in reading, writing, oral communication and numeracy utilising the Australian Core Skills Framework (ACSF) are provided in the Furnishing Training Package Implementation Guide.</w:t>
      </w:r>
    </w:p>
    <w:p w:rsidR="00000000" w:rsidRPr="00977C1E" w:rsidP="00977C1E">
      <w:pPr>
        <w:pStyle w:val="AllowPageBreak"/>
      </w:pPr>
    </w:p>
    <w:p w:rsidR="00000000" w:rsidRPr="00977C1E" w:rsidP="00977C1E">
      <w:pPr>
        <w:pStyle w:val="Heading1"/>
      </w:pPr>
      <w:bookmarkStart w:id="8" w:name="O_621596"/>
      <w:bookmarkEnd w:id="8"/>
      <w:r w:rsidRPr="00977C1E">
        <w:t>Range of Conditi</w:t>
      </w:r>
      <w:r w:rsidRPr="00977C1E">
        <w:t>ons</w:t>
      </w:r>
    </w:p>
    <w:tbl>
      <w:tblPr>
        <w:tblW w:w="0" w:type="auto"/>
        <w:tblLayout w:type="fixed"/>
        <w:tblCellMar>
          <w:left w:w="62" w:type="dxa"/>
          <w:right w:w="62" w:type="dxa"/>
        </w:tblCellMar>
        <w:tblLook w:val="0000"/>
      </w:tblPr>
      <w:tblGrid>
        <w:gridCol w:w="2760"/>
        <w:gridCol w:w="6312"/>
      </w:tblGrid>
      <w:tr w:rsidTr="00977C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t>Specifies different work environments and conditions that may affect performance. Essential operating conditions that may be present (depending on the work situation, needs of the candidate, accessibility of the item, and local industry and regional co</w:t>
            </w:r>
            <w:r w:rsidRPr="00977C1E">
              <w:t>ntexts) are included. Range is restricted to essential operating conditions and any other variables essential to the work environment.</w:t>
            </w:r>
          </w:p>
        </w:tc>
      </w:tr>
      <w:tr w:rsidTr="00977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77C1E" w:rsidP="00977C1E">
            <w:pPr>
              <w:pStyle w:val="ListBullet"/>
            </w:pPr>
            <w:r w:rsidRPr="00977C1E">
              <w:t>WHS requirements, including legislation, building codes, material safety management systems, ha</w:t>
            </w:r>
            <w:r w:rsidRPr="00977C1E">
              <w:t xml:space="preserve">zardous and dangerous goods codes, and local safe operating procedures or equivalent </w:t>
            </w:r>
          </w:p>
          <w:p w:rsidR="00000000" w:rsidRPr="00977C1E" w:rsidP="00977C1E">
            <w:pPr>
              <w:pStyle w:val="ListBullet"/>
            </w:pPr>
            <w:r w:rsidRPr="00977C1E">
              <w:t>work is carried out in accordance with legislative obligations, environmental legislation, relevant health regulations, manual handling procedures and organisation insura</w:t>
            </w:r>
            <w:r w:rsidRPr="00977C1E">
              <w:t>nce requirements</w:t>
            </w:r>
          </w:p>
          <w:p w:rsidR="00000000" w:rsidP="00977C1E">
            <w:pPr>
              <w:pStyle w:val="ListBullet"/>
              <w:rPr>
                <w:lang w:val="en-NZ"/>
              </w:rPr>
            </w:pPr>
            <w:r w:rsidRPr="00977C1E">
              <w:t>work requires individuals to demonstrate discretion and apply  judgement and problem solving to complex issues</w:t>
            </w:r>
          </w:p>
        </w:tc>
      </w:tr>
      <w:tr w:rsidTr="00977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Conservation includes:</w:t>
            </w:r>
          </w:p>
        </w:tc>
        <w:tc>
          <w:tcPr>
            <w:tcW w:w="6312" w:type="dxa"/>
            <w:tcBorders>
              <w:top w:val="nil"/>
              <w:left w:val="nil"/>
              <w:bottom w:val="nil"/>
              <w:right w:val="nil"/>
            </w:tcBorders>
            <w:tcMar>
              <w:top w:w="0" w:type="dxa"/>
              <w:left w:w="62" w:type="dxa"/>
              <w:bottom w:w="0" w:type="dxa"/>
              <w:right w:w="62" w:type="dxa"/>
            </w:tcMar>
          </w:tcPr>
          <w:p w:rsidR="00000000" w:rsidRPr="00977C1E" w:rsidP="00977C1E">
            <w:pPr>
              <w:pStyle w:val="ListBullet"/>
            </w:pPr>
            <w:r w:rsidRPr="00977C1E">
              <w:t xml:space="preserve">advice in the Australia ICOMOS Burra Charter as meaning all of the processes of </w:t>
            </w:r>
            <w:r w:rsidRPr="00977C1E">
              <w:t>looking after a place needed to retain cultural significance</w:t>
            </w:r>
          </w:p>
          <w:p w:rsidR="00000000" w:rsidP="00977C1E">
            <w:pPr>
              <w:pStyle w:val="ListBullet"/>
              <w:rPr>
                <w:lang w:val="en-NZ"/>
              </w:rPr>
            </w:pPr>
            <w:r w:rsidRPr="00977C1E">
              <w:t>preservation, restoration, reconstruction and adaptation dependent upon specific circumstances (it commonly involves a combination of more than one of these). It also requires that the stained gl</w:t>
            </w:r>
            <w:r w:rsidRPr="00977C1E">
              <w:t>ass conservator respects and understands the requirements of other specialist crafts and the role of other specialist artisans</w:t>
            </w:r>
          </w:p>
        </w:tc>
      </w:tr>
      <w:tr w:rsidTr="00977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Preservation includes:</w:t>
            </w:r>
          </w:p>
        </w:tc>
        <w:tc>
          <w:tcPr>
            <w:tcW w:w="6312" w:type="dxa"/>
            <w:tcBorders>
              <w:top w:val="nil"/>
              <w:left w:val="nil"/>
              <w:bottom w:val="nil"/>
              <w:right w:val="nil"/>
            </w:tcBorders>
            <w:tcMar>
              <w:top w:w="0" w:type="dxa"/>
              <w:left w:w="62" w:type="dxa"/>
              <w:bottom w:w="0" w:type="dxa"/>
              <w:right w:w="62" w:type="dxa"/>
            </w:tcMar>
          </w:tcPr>
          <w:p w:rsidR="00000000" w:rsidP="00977C1E">
            <w:pPr>
              <w:pStyle w:val="ListBullet"/>
              <w:rPr>
                <w:lang w:val="en-NZ"/>
              </w:rPr>
            </w:pPr>
            <w:r w:rsidRPr="00977C1E">
              <w:t>maintaining the leadlight and stained glass panel in its existing state and of retarding deterioration</w:t>
            </w:r>
          </w:p>
        </w:tc>
      </w:tr>
      <w:tr w:rsidTr="00977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Restoration includes:</w:t>
            </w:r>
          </w:p>
        </w:tc>
        <w:tc>
          <w:tcPr>
            <w:tcW w:w="6312" w:type="dxa"/>
            <w:tcBorders>
              <w:top w:val="nil"/>
              <w:left w:val="nil"/>
              <w:bottom w:val="nil"/>
              <w:right w:val="nil"/>
            </w:tcBorders>
            <w:tcMar>
              <w:top w:w="0" w:type="dxa"/>
              <w:left w:w="62" w:type="dxa"/>
              <w:bottom w:w="0" w:type="dxa"/>
              <w:right w:w="62" w:type="dxa"/>
            </w:tcMar>
          </w:tcPr>
          <w:p w:rsidR="00000000" w:rsidP="00977C1E">
            <w:pPr>
              <w:pStyle w:val="ListBullet"/>
              <w:rPr>
                <w:lang w:val="en-NZ"/>
              </w:rPr>
            </w:pPr>
            <w:r w:rsidRPr="00977C1E">
              <w:t>returning the leadlight and stained glass panel to a known earlier state by removing accretions or by re-assembling existing components without the introduction of new material</w:t>
            </w:r>
          </w:p>
        </w:tc>
      </w:tr>
      <w:tr w:rsidTr="00977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Reconstruction includes:</w:t>
            </w:r>
          </w:p>
        </w:tc>
        <w:tc>
          <w:tcPr>
            <w:tcW w:w="6312" w:type="dxa"/>
            <w:tcBorders>
              <w:top w:val="nil"/>
              <w:left w:val="nil"/>
              <w:bottom w:val="nil"/>
              <w:right w:val="nil"/>
            </w:tcBorders>
            <w:tcMar>
              <w:top w:w="0" w:type="dxa"/>
              <w:left w:w="62" w:type="dxa"/>
              <w:bottom w:w="0" w:type="dxa"/>
              <w:right w:w="62" w:type="dxa"/>
            </w:tcMar>
          </w:tcPr>
          <w:p w:rsidR="00000000" w:rsidP="00977C1E">
            <w:pPr>
              <w:pStyle w:val="ListBullet"/>
              <w:rPr>
                <w:lang w:val="en-NZ"/>
              </w:rPr>
            </w:pPr>
            <w:r w:rsidRPr="00977C1E">
              <w:t>returning the leadlight and s</w:t>
            </w:r>
            <w:r w:rsidRPr="00977C1E">
              <w:t>tained glass panel to a known earlier state and is distinguished by the introduction of new materials</w:t>
            </w:r>
          </w:p>
        </w:tc>
      </w:tr>
      <w:tr w:rsidTr="00977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977C1E" w:rsidP="00977C1E">
            <w:pPr>
              <w:pStyle w:val="ListBullet"/>
            </w:pPr>
            <w:r w:rsidRPr="00977C1E">
              <w:t>clients</w:t>
            </w:r>
          </w:p>
          <w:p w:rsidR="00000000" w:rsidRPr="00977C1E" w:rsidP="00977C1E">
            <w:pPr>
              <w:pStyle w:val="ListBullet"/>
            </w:pPr>
            <w:r w:rsidRPr="00977C1E">
              <w:t xml:space="preserve">architects </w:t>
            </w:r>
          </w:p>
          <w:p w:rsidR="00000000" w:rsidRPr="00977C1E" w:rsidP="00977C1E">
            <w:pPr>
              <w:pStyle w:val="ListBullet"/>
            </w:pPr>
            <w:r w:rsidRPr="00977C1E">
              <w:t xml:space="preserve">engineers </w:t>
            </w:r>
          </w:p>
          <w:p w:rsidR="00000000" w:rsidRPr="00977C1E" w:rsidP="00977C1E">
            <w:pPr>
              <w:pStyle w:val="ListBullet"/>
            </w:pPr>
            <w:r w:rsidRPr="00977C1E">
              <w:t xml:space="preserve">construction supervisors </w:t>
            </w:r>
          </w:p>
          <w:p w:rsidR="00000000" w:rsidRPr="00977C1E" w:rsidP="00977C1E">
            <w:pPr>
              <w:pStyle w:val="ListBullet"/>
            </w:pPr>
            <w:r w:rsidRPr="00977C1E">
              <w:t xml:space="preserve">members of heritage committees </w:t>
            </w:r>
          </w:p>
          <w:p w:rsidR="00000000" w:rsidRPr="00977C1E" w:rsidP="00977C1E">
            <w:pPr>
              <w:pStyle w:val="ListBullet"/>
            </w:pPr>
            <w:r w:rsidRPr="00977C1E">
              <w:t xml:space="preserve">government agencies </w:t>
            </w:r>
          </w:p>
          <w:p w:rsidR="00000000" w:rsidP="00977C1E">
            <w:pPr>
              <w:pStyle w:val="ListBullet"/>
              <w:rPr>
                <w:lang w:val="en-NZ"/>
              </w:rPr>
            </w:pPr>
            <w:r w:rsidRPr="00977C1E">
              <w:t xml:space="preserve">other specialist artisans, such as stonemasons </w:t>
            </w:r>
          </w:p>
        </w:tc>
      </w:tr>
      <w:tr w:rsidTr="00977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77C1E" w:rsidP="00977C1E">
            <w:pPr>
              <w:pStyle w:val="ListBullet"/>
            </w:pPr>
            <w:r w:rsidRPr="00977C1E">
              <w:t xml:space="preserve">work benches </w:t>
            </w:r>
          </w:p>
          <w:p w:rsidR="00000000" w:rsidRPr="00977C1E" w:rsidP="00977C1E">
            <w:pPr>
              <w:pStyle w:val="ListBullet"/>
            </w:pPr>
            <w:r w:rsidRPr="00977C1E">
              <w:t xml:space="preserve">light tables </w:t>
            </w:r>
          </w:p>
          <w:p w:rsidR="00000000" w:rsidRPr="00977C1E" w:rsidP="00977C1E">
            <w:pPr>
              <w:pStyle w:val="ListBullet"/>
            </w:pPr>
            <w:r w:rsidRPr="00977C1E">
              <w:t xml:space="preserve">glass grinders </w:t>
            </w:r>
          </w:p>
          <w:p w:rsidR="00000000" w:rsidRPr="00977C1E" w:rsidP="00977C1E">
            <w:pPr>
              <w:pStyle w:val="ListBullet"/>
            </w:pPr>
            <w:r w:rsidRPr="00977C1E">
              <w:t xml:space="preserve">lead knifes </w:t>
            </w:r>
          </w:p>
          <w:p w:rsidR="00000000" w:rsidRPr="00977C1E" w:rsidP="00977C1E">
            <w:pPr>
              <w:pStyle w:val="ListBullet"/>
            </w:pPr>
            <w:r w:rsidRPr="00977C1E">
              <w:t xml:space="preserve">lead vice </w:t>
            </w:r>
          </w:p>
          <w:p w:rsidR="00000000" w:rsidRPr="00977C1E" w:rsidP="00977C1E">
            <w:pPr>
              <w:pStyle w:val="ListBullet"/>
            </w:pPr>
            <w:r w:rsidRPr="00977C1E">
              <w:t xml:space="preserve">lathekins </w:t>
            </w:r>
          </w:p>
          <w:p w:rsidR="00000000" w:rsidRPr="00977C1E" w:rsidP="00977C1E">
            <w:pPr>
              <w:pStyle w:val="ListBullet"/>
            </w:pPr>
            <w:r w:rsidRPr="00977C1E">
              <w:t xml:space="preserve">farriers nails </w:t>
            </w:r>
          </w:p>
          <w:p w:rsidR="00000000" w:rsidRPr="00977C1E" w:rsidP="00977C1E">
            <w:pPr>
              <w:pStyle w:val="ListBullet"/>
            </w:pPr>
            <w:r w:rsidRPr="00977C1E">
              <w:t xml:space="preserve">glass cutters </w:t>
            </w:r>
          </w:p>
          <w:p w:rsidR="00000000" w:rsidRPr="00977C1E" w:rsidP="00977C1E">
            <w:pPr>
              <w:pStyle w:val="ListBullet"/>
            </w:pPr>
            <w:r w:rsidRPr="00977C1E">
              <w:t xml:space="preserve">grozing and small running pliers </w:t>
            </w:r>
          </w:p>
          <w:p w:rsidR="00000000" w:rsidRPr="00977C1E" w:rsidP="00977C1E">
            <w:pPr>
              <w:pStyle w:val="ListBullet"/>
            </w:pPr>
            <w:r w:rsidRPr="00977C1E">
              <w:t xml:space="preserve">soldering irons and bits </w:t>
            </w:r>
          </w:p>
          <w:p w:rsidR="00000000" w:rsidRPr="00977C1E" w:rsidP="00977C1E">
            <w:pPr>
              <w:pStyle w:val="ListBullet"/>
            </w:pPr>
            <w:r w:rsidRPr="00977C1E">
              <w:t xml:space="preserve">suede </w:t>
            </w:r>
          </w:p>
          <w:p w:rsidR="00000000" w:rsidRPr="00977C1E" w:rsidP="00977C1E">
            <w:pPr>
              <w:pStyle w:val="ListBullet"/>
            </w:pPr>
            <w:r w:rsidRPr="00977C1E">
              <w:t xml:space="preserve">cleaning and polishing brushers and pickers </w:t>
            </w:r>
          </w:p>
          <w:p w:rsidR="00000000" w:rsidP="00977C1E">
            <w:pPr>
              <w:pStyle w:val="ListBullet"/>
              <w:rPr>
                <w:lang w:val="en-NZ"/>
              </w:rPr>
            </w:pPr>
            <w:r w:rsidRPr="00977C1E">
              <w:t>general hand tools</w:t>
            </w:r>
          </w:p>
        </w:tc>
      </w:tr>
      <w:tr w:rsidTr="00977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Plans and other documents include:</w:t>
            </w:r>
          </w:p>
        </w:tc>
        <w:tc>
          <w:tcPr>
            <w:tcW w:w="6312" w:type="dxa"/>
            <w:tcBorders>
              <w:top w:val="nil"/>
              <w:left w:val="nil"/>
              <w:bottom w:val="nil"/>
              <w:right w:val="nil"/>
            </w:tcBorders>
            <w:tcMar>
              <w:top w:w="0" w:type="dxa"/>
              <w:left w:w="62" w:type="dxa"/>
              <w:bottom w:w="0" w:type="dxa"/>
              <w:right w:w="62" w:type="dxa"/>
            </w:tcMar>
          </w:tcPr>
          <w:p w:rsidR="00000000" w:rsidRPr="00977C1E" w:rsidP="00977C1E">
            <w:pPr>
              <w:pStyle w:val="ListBullet"/>
            </w:pPr>
            <w:r w:rsidRPr="00977C1E">
              <w:t>original architectural plans</w:t>
            </w:r>
          </w:p>
          <w:p w:rsidR="00000000" w:rsidRPr="00977C1E" w:rsidP="00977C1E">
            <w:pPr>
              <w:pStyle w:val="ListBullet"/>
            </w:pPr>
            <w:r w:rsidRPr="00977C1E">
              <w:t xml:space="preserve">original drawings, cartoons and cut lines for glass panels </w:t>
            </w:r>
          </w:p>
          <w:p w:rsidR="00000000" w:rsidRPr="00977C1E" w:rsidP="00977C1E">
            <w:pPr>
              <w:pStyle w:val="ListBullet"/>
            </w:pPr>
            <w:r w:rsidRPr="00977C1E">
              <w:t xml:space="preserve">historical documents and photographs </w:t>
            </w:r>
          </w:p>
          <w:p w:rsidR="00000000" w:rsidRPr="00977C1E" w:rsidP="00977C1E">
            <w:pPr>
              <w:pStyle w:val="ListBullet"/>
            </w:pPr>
            <w:r w:rsidRPr="00977C1E">
              <w:t xml:space="preserve">charcoal rubbings </w:t>
            </w:r>
          </w:p>
          <w:p w:rsidR="00000000" w:rsidP="00977C1E">
            <w:pPr>
              <w:pStyle w:val="ListBullet"/>
              <w:rPr>
                <w:lang w:val="en-NZ"/>
              </w:rPr>
            </w:pPr>
            <w:r w:rsidRPr="00977C1E">
              <w:t>sketches</w:t>
            </w:r>
          </w:p>
        </w:tc>
      </w:tr>
      <w:tr w:rsidTr="00977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Replacement materials include:</w:t>
            </w:r>
          </w:p>
        </w:tc>
        <w:tc>
          <w:tcPr>
            <w:tcW w:w="6312" w:type="dxa"/>
            <w:tcBorders>
              <w:top w:val="nil"/>
              <w:left w:val="nil"/>
              <w:bottom w:val="nil"/>
              <w:right w:val="nil"/>
            </w:tcBorders>
            <w:tcMar>
              <w:top w:w="0" w:type="dxa"/>
              <w:left w:w="62" w:type="dxa"/>
              <w:bottom w:w="0" w:type="dxa"/>
              <w:right w:w="62" w:type="dxa"/>
            </w:tcMar>
          </w:tcPr>
          <w:p w:rsidR="00000000" w:rsidRPr="00977C1E" w:rsidP="00977C1E">
            <w:pPr>
              <w:pStyle w:val="ListBullet"/>
            </w:pPr>
            <w:r w:rsidRPr="00977C1E">
              <w:t xml:space="preserve">glass </w:t>
            </w:r>
          </w:p>
          <w:p w:rsidR="00000000" w:rsidRPr="00977C1E" w:rsidP="00977C1E">
            <w:pPr>
              <w:pStyle w:val="ListBullet"/>
            </w:pPr>
            <w:r w:rsidRPr="00977C1E">
              <w:t xml:space="preserve">cames </w:t>
            </w:r>
          </w:p>
          <w:p w:rsidR="00000000" w:rsidRPr="00977C1E" w:rsidP="00977C1E">
            <w:pPr>
              <w:pStyle w:val="ListBullet"/>
            </w:pPr>
            <w:r w:rsidRPr="00977C1E">
              <w:t xml:space="preserve">solder </w:t>
            </w:r>
          </w:p>
          <w:p w:rsidR="00000000" w:rsidP="00977C1E">
            <w:pPr>
              <w:pStyle w:val="ListBullet"/>
              <w:rPr>
                <w:lang w:val="en-NZ"/>
              </w:rPr>
            </w:pPr>
            <w:r w:rsidRPr="00977C1E">
              <w:t xml:space="preserve">putty </w:t>
            </w:r>
          </w:p>
        </w:tc>
      </w:tr>
      <w:tr w:rsidTr="00977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Preparation includes:</w:t>
            </w:r>
          </w:p>
        </w:tc>
        <w:tc>
          <w:tcPr>
            <w:tcW w:w="6312" w:type="dxa"/>
            <w:tcBorders>
              <w:top w:val="nil"/>
              <w:left w:val="nil"/>
              <w:bottom w:val="nil"/>
              <w:right w:val="nil"/>
            </w:tcBorders>
            <w:tcMar>
              <w:top w:w="0" w:type="dxa"/>
              <w:left w:w="62" w:type="dxa"/>
              <w:bottom w:w="0" w:type="dxa"/>
              <w:right w:w="62" w:type="dxa"/>
            </w:tcMar>
          </w:tcPr>
          <w:p w:rsidR="00000000" w:rsidRPr="00977C1E" w:rsidP="00977C1E">
            <w:pPr>
              <w:pStyle w:val="ListBullet"/>
            </w:pPr>
            <w:r w:rsidRPr="00977C1E">
              <w:t xml:space="preserve">painting </w:t>
            </w:r>
          </w:p>
          <w:p w:rsidR="00000000" w:rsidRPr="00977C1E" w:rsidP="00977C1E">
            <w:pPr>
              <w:pStyle w:val="ListBullet"/>
            </w:pPr>
            <w:r w:rsidRPr="00977C1E">
              <w:t xml:space="preserve">cutting </w:t>
            </w:r>
          </w:p>
          <w:p w:rsidR="00000000" w:rsidRPr="00977C1E" w:rsidP="00977C1E">
            <w:pPr>
              <w:pStyle w:val="ListBullet"/>
            </w:pPr>
            <w:r w:rsidRPr="00977C1E">
              <w:t xml:space="preserve">rolling </w:t>
            </w:r>
          </w:p>
          <w:p w:rsidR="00000000" w:rsidP="00977C1E">
            <w:pPr>
              <w:pStyle w:val="ListBullet"/>
              <w:rPr>
                <w:lang w:val="en-NZ"/>
              </w:rPr>
            </w:pPr>
            <w:r w:rsidRPr="00977C1E">
              <w:t>soldering</w:t>
            </w:r>
          </w:p>
        </w:tc>
      </w:tr>
      <w:tr w:rsidTr="00977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Measurements include:</w:t>
            </w:r>
          </w:p>
        </w:tc>
        <w:tc>
          <w:tcPr>
            <w:tcW w:w="6312" w:type="dxa"/>
            <w:tcBorders>
              <w:top w:val="nil"/>
              <w:left w:val="nil"/>
              <w:bottom w:val="nil"/>
              <w:right w:val="nil"/>
            </w:tcBorders>
            <w:tcMar>
              <w:top w:w="0" w:type="dxa"/>
              <w:left w:w="62" w:type="dxa"/>
              <w:bottom w:w="0" w:type="dxa"/>
              <w:right w:w="62" w:type="dxa"/>
            </w:tcMar>
          </w:tcPr>
          <w:p w:rsidR="00000000" w:rsidP="00977C1E">
            <w:pPr>
              <w:pStyle w:val="ListBullet"/>
              <w:rPr>
                <w:lang w:val="en-NZ"/>
              </w:rPr>
            </w:pPr>
            <w:r w:rsidRPr="00977C1E">
              <w:t>comparisons with the original plans or other available data</w:t>
            </w:r>
          </w:p>
        </w:tc>
      </w:tr>
      <w:tr w:rsidTr="00977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Tests include:</w:t>
            </w:r>
          </w:p>
        </w:tc>
        <w:tc>
          <w:tcPr>
            <w:tcW w:w="6312" w:type="dxa"/>
            <w:tcBorders>
              <w:top w:val="nil"/>
              <w:left w:val="nil"/>
              <w:bottom w:val="nil"/>
              <w:right w:val="nil"/>
            </w:tcBorders>
            <w:tcMar>
              <w:top w:w="0" w:type="dxa"/>
              <w:left w:w="62" w:type="dxa"/>
              <w:bottom w:w="0" w:type="dxa"/>
              <w:right w:w="62" w:type="dxa"/>
            </w:tcMar>
          </w:tcPr>
          <w:p w:rsidR="00000000" w:rsidP="00977C1E">
            <w:pPr>
              <w:pStyle w:val="ListBullet"/>
              <w:rPr>
                <w:lang w:val="en-NZ"/>
              </w:rPr>
            </w:pPr>
            <w:r w:rsidRPr="00977C1E">
              <w:t>structura</w:t>
            </w:r>
            <w:r w:rsidRPr="00977C1E">
              <w:t xml:space="preserve">l soundness testing and colour matching </w:t>
            </w:r>
          </w:p>
        </w:tc>
      </w:tr>
      <w:tr w:rsidTr="00977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Assembly includes:</w:t>
            </w:r>
          </w:p>
        </w:tc>
        <w:tc>
          <w:tcPr>
            <w:tcW w:w="6312" w:type="dxa"/>
            <w:tcBorders>
              <w:top w:val="nil"/>
              <w:left w:val="nil"/>
              <w:bottom w:val="nil"/>
              <w:right w:val="nil"/>
            </w:tcBorders>
            <w:tcMar>
              <w:top w:w="0" w:type="dxa"/>
              <w:left w:w="62" w:type="dxa"/>
              <w:bottom w:w="0" w:type="dxa"/>
              <w:right w:w="62" w:type="dxa"/>
            </w:tcMar>
          </w:tcPr>
          <w:p w:rsidR="00000000" w:rsidP="00977C1E">
            <w:pPr>
              <w:pStyle w:val="ListBullet"/>
              <w:rPr>
                <w:lang w:val="en-NZ"/>
              </w:rPr>
            </w:pPr>
            <w:r w:rsidRPr="00977C1E">
              <w:t>the requirement to assemble sections in order to facilitate later installation</w:t>
            </w:r>
          </w:p>
        </w:tc>
      </w:tr>
      <w:tr w:rsidTr="00977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Conservation report includes:</w:t>
            </w:r>
          </w:p>
        </w:tc>
        <w:tc>
          <w:tcPr>
            <w:tcW w:w="6312" w:type="dxa"/>
            <w:tcBorders>
              <w:top w:val="nil"/>
              <w:left w:val="nil"/>
              <w:bottom w:val="nil"/>
              <w:right w:val="nil"/>
            </w:tcBorders>
            <w:tcMar>
              <w:top w:w="0" w:type="dxa"/>
              <w:left w:w="62" w:type="dxa"/>
              <w:bottom w:w="0" w:type="dxa"/>
              <w:right w:w="62" w:type="dxa"/>
            </w:tcMar>
          </w:tcPr>
          <w:p w:rsidR="00000000" w:rsidRPr="00977C1E" w:rsidP="00977C1E">
            <w:pPr>
              <w:pStyle w:val="ListBullet"/>
            </w:pPr>
            <w:r w:rsidRPr="00977C1E">
              <w:t>detailing the extent of the conservation methods applied</w:t>
            </w:r>
          </w:p>
          <w:p w:rsidR="00000000" w:rsidRPr="00977C1E" w:rsidP="00977C1E">
            <w:pPr>
              <w:pStyle w:val="ListBullet"/>
            </w:pPr>
            <w:r w:rsidRPr="00977C1E">
              <w:t xml:space="preserve">problems encountered </w:t>
            </w:r>
          </w:p>
          <w:p w:rsidR="00000000" w:rsidRPr="00977C1E" w:rsidP="00977C1E">
            <w:pPr>
              <w:pStyle w:val="ListBullet"/>
            </w:pPr>
            <w:r w:rsidRPr="00977C1E">
              <w:t>meth</w:t>
            </w:r>
            <w:r w:rsidRPr="00977C1E">
              <w:t>ods of dealing with them</w:t>
            </w:r>
          </w:p>
          <w:p w:rsidR="00000000" w:rsidRPr="00977C1E" w:rsidP="00977C1E">
            <w:pPr>
              <w:pStyle w:val="ListBullet"/>
            </w:pPr>
            <w:r w:rsidRPr="00977C1E">
              <w:t>photographic records of process and assembly</w:t>
            </w:r>
          </w:p>
          <w:p w:rsidR="00000000" w:rsidP="00977C1E">
            <w:pPr>
              <w:pStyle w:val="ListBullet"/>
              <w:rPr>
                <w:lang w:val="en-NZ"/>
              </w:rPr>
            </w:pPr>
            <w:r w:rsidRPr="00977C1E">
              <w:t xml:space="preserve">details required by government bodies </w:t>
            </w:r>
          </w:p>
        </w:tc>
      </w:tr>
      <w:tr w:rsidTr="00977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77C1E" w:rsidP="00977C1E">
            <w:pPr>
              <w:pStyle w:val="BodyText"/>
            </w:pPr>
            <w:r w:rsidRPr="00977C1E">
              <w:rPr>
                <w:rStyle w:val="SpecialBold"/>
              </w:rPr>
              <w:t>Personal protective equipment includes:</w:t>
            </w:r>
          </w:p>
          <w:p w:rsidR="00000000" w:rsidP="00977C1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77C1E" w:rsidP="00977C1E">
            <w:pPr>
              <w:pStyle w:val="ListBullet"/>
            </w:pPr>
            <w:r w:rsidRPr="00977C1E">
              <w:t>that prescribed under legislation, regulation and enterprise policies and practices:</w:t>
            </w:r>
          </w:p>
          <w:p w:rsidR="00000000" w:rsidRPr="00977C1E" w:rsidP="00977C1E">
            <w:pPr>
              <w:pStyle w:val="ListBullet2"/>
            </w:pPr>
            <w:r w:rsidRPr="00977C1E">
              <w:t>gauntlets</w:t>
            </w:r>
          </w:p>
          <w:p w:rsidR="00000000" w:rsidRPr="00977C1E" w:rsidP="00977C1E">
            <w:pPr>
              <w:pStyle w:val="ListBullet2"/>
            </w:pPr>
            <w:r w:rsidRPr="00977C1E">
              <w:t>gloves</w:t>
            </w:r>
          </w:p>
          <w:p w:rsidR="00000000" w:rsidRPr="00977C1E" w:rsidP="00977C1E">
            <w:pPr>
              <w:pStyle w:val="ListBullet2"/>
            </w:pPr>
            <w:r w:rsidRPr="00977C1E">
              <w:t>safety glasses</w:t>
            </w:r>
          </w:p>
          <w:p w:rsidR="00000000" w:rsidRPr="00977C1E" w:rsidP="00977C1E">
            <w:pPr>
              <w:pStyle w:val="ListBullet2"/>
            </w:pPr>
            <w:r w:rsidRPr="00977C1E">
              <w:t>hard hats</w:t>
            </w:r>
          </w:p>
          <w:p w:rsidR="00000000" w:rsidRPr="00977C1E" w:rsidP="00977C1E">
            <w:pPr>
              <w:pStyle w:val="ListBullet2"/>
            </w:pPr>
            <w:r w:rsidRPr="00977C1E">
              <w:t>safety footwear</w:t>
            </w:r>
          </w:p>
          <w:p w:rsidR="00000000" w:rsidP="00977C1E">
            <w:pPr>
              <w:pStyle w:val="ListBullet2"/>
              <w:rPr>
                <w:lang w:val="en-NZ"/>
              </w:rPr>
            </w:pPr>
            <w:r w:rsidRPr="00977C1E">
              <w:t>aprons and overalls</w:t>
            </w:r>
          </w:p>
        </w:tc>
      </w:tr>
      <w:tr w:rsidTr="00977C1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7C1E">
            <w:pPr>
              <w:pStyle w:val="BodyText"/>
              <w:rPr>
                <w:lang w:val="en-NZ"/>
              </w:rPr>
            </w:pPr>
            <w:r w:rsidRPr="00977C1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77C1E" w:rsidP="00977C1E">
            <w:pPr>
              <w:pStyle w:val="ListBullet"/>
            </w:pPr>
            <w:r w:rsidRPr="00977C1E">
              <w:t xml:space="preserve">workplace procedures relating to the use of tools and equipment and personal protective equipment </w:t>
            </w:r>
          </w:p>
          <w:p w:rsidR="00000000" w:rsidRPr="00977C1E" w:rsidP="00977C1E">
            <w:pPr>
              <w:pStyle w:val="ListBullet"/>
            </w:pPr>
            <w:r w:rsidRPr="00977C1E">
              <w:t xml:space="preserve">work instructions, including job sheets, cutting lists, plans, drawings and designs </w:t>
            </w:r>
          </w:p>
          <w:p w:rsidR="00000000" w:rsidRPr="00977C1E" w:rsidP="00977C1E">
            <w:pPr>
              <w:pStyle w:val="ListBullet"/>
            </w:pPr>
            <w:r w:rsidRPr="00977C1E">
              <w:t xml:space="preserve">workplace procedures relating to reporting and communication </w:t>
            </w:r>
          </w:p>
          <w:p w:rsidR="00000000" w:rsidRPr="00977C1E" w:rsidP="00977C1E">
            <w:pPr>
              <w:pStyle w:val="ListBullet"/>
            </w:pPr>
            <w:r w:rsidRPr="00977C1E">
              <w:t>manufacturer specifications and operational procedures</w:t>
            </w:r>
          </w:p>
        </w:tc>
      </w:tr>
    </w:tbl>
    <w:p w:rsidR="00000000" w:rsidRPr="00977C1E" w:rsidP="00977C1E">
      <w:pPr>
        <w:pStyle w:val="BodyText"/>
      </w:pPr>
    </w:p>
    <w:p w:rsidR="00000000" w:rsidRPr="00977C1E" w:rsidP="00977C1E">
      <w:pPr>
        <w:pStyle w:val="AllowPageBreak"/>
      </w:pPr>
    </w:p>
    <w:p w:rsidR="00000000" w:rsidRPr="00977C1E" w:rsidP="00977C1E">
      <w:pPr>
        <w:pStyle w:val="Heading1"/>
      </w:pPr>
      <w:bookmarkStart w:id="9" w:name="O_621595"/>
      <w:bookmarkEnd w:id="9"/>
      <w:r w:rsidRPr="00977C1E">
        <w:t>Unit Mapping Information</w:t>
      </w:r>
    </w:p>
    <w:p w:rsidR="00000000" w:rsidRPr="00977C1E" w:rsidP="00977C1E">
      <w:pPr>
        <w:pStyle w:val="BodyText"/>
      </w:pPr>
      <w:r w:rsidRPr="00977C1E">
        <w:t>Supersedes</w:t>
      </w:r>
      <w:r w:rsidRPr="00977C1E">
        <w:t xml:space="preserve"> and is equivalent to LMFSL5003B Conserve heritage leadlight and stained glass.</w:t>
      </w:r>
    </w:p>
    <w:p w:rsidR="00000000" w:rsidRPr="00977C1E" w:rsidP="00977C1E">
      <w:pPr>
        <w:pStyle w:val="AllowPageBreak"/>
      </w:pPr>
    </w:p>
    <w:p w:rsidR="00000000" w:rsidRPr="00977C1E" w:rsidP="00977C1E">
      <w:pPr>
        <w:pStyle w:val="Heading1"/>
      </w:pPr>
      <w:bookmarkStart w:id="10" w:name="O_621588"/>
      <w:bookmarkEnd w:id="10"/>
      <w:r w:rsidRPr="00977C1E">
        <w:t>Links</w:t>
      </w:r>
    </w:p>
    <w:p w:rsidR="00000000" w:rsidRPr="00977C1E" w:rsidP="00977C1E">
      <w:pPr>
        <w:pStyle w:val="BodyText"/>
      </w:pPr>
      <w:r w:rsidRPr="00977C1E">
        <w:t>Companion Volume implementation guides are found in VETNet - https://vetnet.education.gov.au/Pages/TrainingDocs.aspx?q=0601ab95-583a-4e93-b2d4-cfb27b03ed</w:t>
      </w:r>
      <w:r w:rsidRPr="00977C1E">
        <w:t>73</w:t>
      </w:r>
    </w:p>
    <w:p w:rsidR="00000000" w:rsidRPr="00977C1E" w:rsidP="00977C1E"/>
    <w:sectPr w:rsidSect="00977C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1E" w:rsidRPr="00CF5C2E" w:rsidP="00CF5C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C2E" w:rsidP="00977C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F5C2E" w:rsidP="00977C1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F5C2E" w:rsidP="00977C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C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7C1E" w:rsidRPr="00CF5C2E" w:rsidP="00CF5C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C2E" w:rsidRPr="002D2AF8" w:rsidP="00977C1E">
    <w:pPr>
      <w:pStyle w:val="Header"/>
      <w:framePr w:wrap="around"/>
    </w:pPr>
    <w:r>
      <w:fldChar w:fldCharType="begin"/>
    </w:r>
    <w:r>
      <w:instrText xml:space="preserve"> TITLE   \* MERGEFORMAT </w:instrText>
    </w:r>
    <w:r>
      <w:fldChar w:fldCharType="separate"/>
    </w:r>
    <w:r>
      <w:t>MSFSL5003 Conserve heritage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CF5C2E" w:rsidP="00977C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3C5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D8D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2A3B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7C1E"/>
    <w:pPr>
      <w:spacing w:before="360" w:after="60"/>
      <w:outlineLvl w:val="0"/>
    </w:pPr>
    <w:rPr>
      <w:sz w:val="32"/>
    </w:rPr>
  </w:style>
  <w:style w:type="paragraph" w:styleId="Heading2">
    <w:name w:val="heading 2"/>
    <w:basedOn w:val="HeadingBase"/>
    <w:next w:val="BodyText"/>
    <w:link w:val="Heading2Char"/>
    <w:qFormat/>
    <w:rsid w:val="00977C1E"/>
    <w:pPr>
      <w:keepLines/>
      <w:spacing w:before="240" w:after="120"/>
      <w:outlineLvl w:val="1"/>
    </w:pPr>
    <w:rPr>
      <w:sz w:val="28"/>
      <w:szCs w:val="40"/>
    </w:rPr>
  </w:style>
  <w:style w:type="paragraph" w:styleId="Heading3">
    <w:name w:val="heading 3"/>
    <w:basedOn w:val="HeadingBase"/>
    <w:next w:val="BodyText"/>
    <w:link w:val="Heading3Char"/>
    <w:qFormat/>
    <w:rsid w:val="00977C1E"/>
    <w:pPr>
      <w:spacing w:before="180" w:after="120"/>
      <w:outlineLvl w:val="2"/>
    </w:pPr>
    <w:rPr>
      <w:spacing w:val="-10"/>
      <w:kern w:val="32"/>
    </w:rPr>
  </w:style>
  <w:style w:type="paragraph" w:styleId="Heading4">
    <w:name w:val="heading 4"/>
    <w:basedOn w:val="HeadingBase"/>
    <w:next w:val="BodyText"/>
    <w:link w:val="Heading4Char"/>
    <w:qFormat/>
    <w:rsid w:val="00977C1E"/>
    <w:pPr>
      <w:spacing w:before="160" w:after="120"/>
      <w:outlineLvl w:val="3"/>
    </w:pPr>
    <w:rPr>
      <w:sz w:val="22"/>
    </w:rPr>
  </w:style>
  <w:style w:type="paragraph" w:styleId="Heading5">
    <w:name w:val="heading 5"/>
    <w:basedOn w:val="HeadingBase"/>
    <w:next w:val="Normal"/>
    <w:link w:val="Heading5Char"/>
    <w:qFormat/>
    <w:rsid w:val="00977C1E"/>
    <w:pPr>
      <w:spacing w:before="80"/>
      <w:outlineLvl w:val="4"/>
    </w:pPr>
    <w:rPr>
      <w:color w:val="918585"/>
      <w:sz w:val="20"/>
    </w:rPr>
  </w:style>
  <w:style w:type="paragraph" w:styleId="Heading6">
    <w:name w:val="heading 6"/>
    <w:basedOn w:val="HeadingBase"/>
    <w:next w:val="Normal"/>
    <w:link w:val="Heading6Char"/>
    <w:qFormat/>
    <w:rsid w:val="00977C1E"/>
    <w:pPr>
      <w:spacing w:before="60"/>
      <w:outlineLvl w:val="5"/>
    </w:pPr>
    <w:rPr>
      <w:color w:val="918585"/>
      <w:sz w:val="20"/>
    </w:rPr>
  </w:style>
  <w:style w:type="paragraph" w:styleId="Heading7">
    <w:name w:val="heading 7"/>
    <w:basedOn w:val="Normal"/>
    <w:next w:val="Normal"/>
    <w:link w:val="Heading7Char"/>
    <w:qFormat/>
    <w:rsid w:val="00977C1E"/>
    <w:pPr>
      <w:ind w:left="720"/>
      <w:outlineLvl w:val="6"/>
    </w:pPr>
    <w:rPr>
      <w:i/>
    </w:rPr>
  </w:style>
  <w:style w:type="paragraph" w:styleId="Heading8">
    <w:name w:val="heading 8"/>
    <w:basedOn w:val="Normal"/>
    <w:next w:val="Normal"/>
    <w:link w:val="Heading8Char"/>
    <w:qFormat/>
    <w:rsid w:val="00977C1E"/>
    <w:pPr>
      <w:ind w:left="720"/>
      <w:outlineLvl w:val="7"/>
    </w:pPr>
    <w:rPr>
      <w:i/>
    </w:rPr>
  </w:style>
  <w:style w:type="paragraph" w:styleId="Heading9">
    <w:name w:val="heading 9"/>
    <w:basedOn w:val="Normal"/>
    <w:next w:val="Normal"/>
    <w:link w:val="Heading9Char"/>
    <w:qFormat/>
    <w:rsid w:val="00977C1E"/>
    <w:pPr>
      <w:ind w:left="720"/>
      <w:outlineLvl w:val="8"/>
    </w:pPr>
    <w:rPr>
      <w:i/>
    </w:rPr>
  </w:style>
  <w:style w:type="character" w:default="1" w:styleId="DefaultParagraphFont">
    <w:name w:val="Default Paragraph Font"/>
    <w:uiPriority w:val="1"/>
    <w:unhideWhenUsed/>
    <w:rsid w:val="00977C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C1E"/>
  </w:style>
  <w:style w:type="character" w:customStyle="1" w:styleId="Heading1Char">
    <w:name w:val="Heading 1 Char"/>
    <w:basedOn w:val="DefaultParagraphFont"/>
    <w:link w:val="Heading1"/>
    <w:rsid w:val="00977C1E"/>
    <w:rPr>
      <w:rFonts w:ascii="Times New Roman" w:eastAsia="Times New Roman" w:hAnsi="Times New Roman" w:cs="Times New Roman"/>
      <w:b/>
      <w:sz w:val="32"/>
      <w:szCs w:val="20"/>
      <w:lang w:eastAsia="en-US"/>
    </w:rPr>
  </w:style>
  <w:style w:type="paragraph" w:styleId="BodyText">
    <w:name w:val="Body Text"/>
    <w:basedOn w:val="Normal"/>
    <w:link w:val="BodyTextChar"/>
    <w:rsid w:val="00977C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7C1E"/>
    <w:rPr>
      <w:rFonts w:ascii="Times New Roman" w:eastAsia="Times New Roman" w:hAnsi="Times New Roman" w:cs="Times New Roman"/>
      <w:sz w:val="24"/>
      <w:lang w:eastAsia="en-US"/>
    </w:rPr>
  </w:style>
  <w:style w:type="paragraph" w:styleId="ListBullet">
    <w:name w:val="List Bullet"/>
    <w:basedOn w:val="List"/>
    <w:rsid w:val="00977C1E"/>
    <w:pPr>
      <w:numPr>
        <w:numId w:val="13"/>
      </w:numPr>
      <w:tabs>
        <w:tab w:val="clear" w:pos="340"/>
      </w:tabs>
      <w:spacing w:before="40" w:after="40"/>
    </w:pPr>
  </w:style>
  <w:style w:type="character" w:customStyle="1" w:styleId="SpecialBold">
    <w:name w:val="Special Bold"/>
    <w:basedOn w:val="DefaultParagraphFont"/>
    <w:rsid w:val="00977C1E"/>
    <w:rPr>
      <w:b/>
      <w:spacing w:val="0"/>
    </w:rPr>
  </w:style>
  <w:style w:type="paragraph" w:styleId="ListBullet2">
    <w:name w:val="List Bullet 2"/>
    <w:basedOn w:val="List2"/>
    <w:rsid w:val="00977C1E"/>
    <w:pPr>
      <w:numPr>
        <w:numId w:val="14"/>
      </w:numPr>
      <w:tabs>
        <w:tab w:val="clear" w:pos="680"/>
      </w:tabs>
    </w:pPr>
  </w:style>
  <w:style w:type="character" w:styleId="Emphasis">
    <w:name w:val="Emphasis"/>
    <w:basedOn w:val="DefaultParagraphFont"/>
    <w:qFormat/>
    <w:rsid w:val="00977C1E"/>
    <w:rPr>
      <w:i/>
    </w:rPr>
  </w:style>
  <w:style w:type="paragraph" w:customStyle="1" w:styleId="SuperHeading">
    <w:name w:val="SuperHeading"/>
    <w:basedOn w:val="Normal"/>
    <w:rsid w:val="00977C1E"/>
    <w:pPr>
      <w:spacing w:before="240" w:after="120"/>
      <w:outlineLvl w:val="0"/>
    </w:pPr>
    <w:rPr>
      <w:rFonts w:ascii="Times New Roman" w:hAnsi="Times New Roman"/>
      <w:b/>
      <w:sz w:val="32"/>
    </w:rPr>
  </w:style>
  <w:style w:type="paragraph" w:customStyle="1" w:styleId="AllowPageBreak">
    <w:name w:val="AllowPageBreak"/>
    <w:rsid w:val="00977C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7C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C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C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C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C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C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7C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7C1E"/>
    <w:rPr>
      <w:rFonts w:ascii="Courier New" w:eastAsia="Times New Roman" w:hAnsi="Courier New" w:cs="Times New Roman"/>
      <w:i/>
      <w:szCs w:val="20"/>
      <w:lang w:eastAsia="en-US"/>
    </w:rPr>
  </w:style>
  <w:style w:type="paragraph" w:customStyle="1" w:styleId="HeadingBase">
    <w:name w:val="Heading Base"/>
    <w:rsid w:val="00977C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C1E"/>
    <w:pPr>
      <w:tabs>
        <w:tab w:val="right" w:leader="dot" w:pos="9072"/>
      </w:tabs>
      <w:ind w:left="567"/>
    </w:pPr>
    <w:rPr>
      <w:szCs w:val="22"/>
    </w:rPr>
  </w:style>
  <w:style w:type="paragraph" w:customStyle="1" w:styleId="TOCBase">
    <w:name w:val="TOC Base"/>
    <w:rsid w:val="00977C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C1E"/>
    <w:pPr>
      <w:tabs>
        <w:tab w:val="right" w:leader="dot" w:pos="9072"/>
      </w:tabs>
      <w:spacing w:before="40" w:after="40"/>
      <w:ind w:left="284"/>
    </w:pPr>
    <w:rPr>
      <w:rFonts w:ascii="Times New Roman" w:hAnsi="Times New Roman"/>
    </w:rPr>
  </w:style>
  <w:style w:type="paragraph" w:styleId="TOC1">
    <w:name w:val="toc 1"/>
    <w:basedOn w:val="TOCBase"/>
    <w:next w:val="Normal"/>
    <w:rsid w:val="00977C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7C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C1E"/>
    <w:rPr>
      <w:rFonts w:ascii="Times New Roman" w:eastAsia="Times New Roman" w:hAnsi="Times New Roman" w:cs="Times New Roman"/>
      <w:sz w:val="16"/>
      <w:lang w:eastAsia="en-US"/>
    </w:rPr>
  </w:style>
  <w:style w:type="paragraph" w:styleId="Title">
    <w:name w:val="Title"/>
    <w:basedOn w:val="HeadingBase"/>
    <w:link w:val="TitleChar"/>
    <w:qFormat/>
    <w:rsid w:val="00977C1E"/>
    <w:pPr>
      <w:spacing w:before="5040"/>
      <w:jc w:val="center"/>
    </w:pPr>
    <w:rPr>
      <w:sz w:val="48"/>
      <w:szCs w:val="72"/>
      <w:lang w:val="en-US"/>
    </w:rPr>
  </w:style>
  <w:style w:type="character" w:customStyle="1" w:styleId="TitleChar">
    <w:name w:val="Title Char"/>
    <w:basedOn w:val="DefaultParagraphFont"/>
    <w:link w:val="Title"/>
    <w:rsid w:val="00977C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C1E"/>
    <w:pPr>
      <w:tabs>
        <w:tab w:val="left" w:pos="3600"/>
        <w:tab w:val="left" w:pos="3958"/>
      </w:tabs>
    </w:pPr>
  </w:style>
  <w:style w:type="paragraph" w:styleId="List">
    <w:name w:val="List"/>
    <w:basedOn w:val="BodyText"/>
    <w:next w:val="BodyText"/>
    <w:rsid w:val="00977C1E"/>
    <w:pPr>
      <w:tabs>
        <w:tab w:val="left" w:pos="340"/>
      </w:tabs>
      <w:spacing w:before="60" w:after="60"/>
      <w:ind w:left="340" w:hanging="340"/>
    </w:pPr>
  </w:style>
  <w:style w:type="paragraph" w:customStyle="1" w:styleId="Note">
    <w:name w:val="Note"/>
    <w:basedOn w:val="BodyText"/>
    <w:rsid w:val="00977C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7C1E"/>
    <w:pPr>
      <w:framePr w:wrap="auto" w:hAnchor="text" w:y="6049"/>
    </w:pPr>
    <w:rPr>
      <w:color w:val="000000"/>
      <w:sz w:val="40"/>
    </w:rPr>
  </w:style>
  <w:style w:type="paragraph" w:customStyle="1" w:styleId="TOCTitle">
    <w:name w:val="TOCTitle"/>
    <w:basedOn w:val="Heading1"/>
    <w:rsid w:val="00977C1E"/>
    <w:pPr>
      <w:spacing w:after="240"/>
      <w:jc w:val="center"/>
      <w:outlineLvl w:val="9"/>
    </w:pPr>
    <w:rPr>
      <w:caps/>
    </w:rPr>
  </w:style>
  <w:style w:type="paragraph" w:customStyle="1" w:styleId="Version">
    <w:name w:val="Version"/>
    <w:rsid w:val="00977C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7C1E"/>
    <w:pPr>
      <w:keepNext w:val="0"/>
      <w:tabs>
        <w:tab w:val="right" w:pos="4176"/>
      </w:tabs>
      <w:ind w:left="198" w:hanging="198"/>
    </w:pPr>
    <w:rPr>
      <w:rFonts w:ascii="Garamond" w:hAnsi="Garamond"/>
    </w:rPr>
  </w:style>
  <w:style w:type="paragraph" w:styleId="IndexHeading">
    <w:name w:val="index heading"/>
    <w:basedOn w:val="Normal"/>
    <w:next w:val="Index1"/>
    <w:semiHidden/>
    <w:rsid w:val="00977C1E"/>
    <w:pPr>
      <w:spacing w:before="120" w:after="120"/>
    </w:pPr>
    <w:rPr>
      <w:rFonts w:ascii="Arial" w:hAnsi="Arial"/>
      <w:b/>
      <w:color w:val="918585"/>
      <w:sz w:val="24"/>
    </w:rPr>
  </w:style>
  <w:style w:type="paragraph" w:styleId="Header">
    <w:name w:val="header"/>
    <w:basedOn w:val="Normal"/>
    <w:link w:val="HeaderChar"/>
    <w:rsid w:val="00977C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C1E"/>
    <w:rPr>
      <w:rFonts w:ascii="Times New Roman" w:eastAsia="Times New Roman" w:hAnsi="Times New Roman" w:cs="Times New Roman"/>
      <w:sz w:val="16"/>
      <w:szCs w:val="20"/>
      <w:lang w:val="en-GB" w:eastAsia="en-US"/>
    </w:rPr>
  </w:style>
  <w:style w:type="paragraph" w:customStyle="1" w:styleId="Chapter">
    <w:name w:val="Chapter"/>
    <w:basedOn w:val="Normal"/>
    <w:rsid w:val="00977C1E"/>
    <w:pPr>
      <w:spacing w:before="240"/>
    </w:pPr>
    <w:rPr>
      <w:rFonts w:ascii="Times New Roman" w:hAnsi="Times New Roman"/>
      <w:smallCaps/>
      <w:spacing w:val="80"/>
      <w:sz w:val="28"/>
    </w:rPr>
  </w:style>
  <w:style w:type="paragraph" w:customStyle="1" w:styleId="InChapter">
    <w:name w:val="InChapter"/>
    <w:basedOn w:val="Heading3"/>
    <w:rsid w:val="00977C1E"/>
    <w:pPr>
      <w:spacing w:after="240"/>
      <w:outlineLvl w:val="9"/>
    </w:pPr>
    <w:rPr>
      <w:noProof/>
    </w:rPr>
  </w:style>
  <w:style w:type="paragraph" w:styleId="Index2">
    <w:name w:val="index 2"/>
    <w:basedOn w:val="Normal"/>
    <w:next w:val="Normal"/>
    <w:semiHidden/>
    <w:rsid w:val="00977C1E"/>
    <w:pPr>
      <w:tabs>
        <w:tab w:val="right" w:pos="4176"/>
      </w:tabs>
      <w:ind w:left="568" w:hanging="284"/>
    </w:pPr>
    <w:rPr>
      <w:rFonts w:ascii="Garamond" w:hAnsi="Garamond"/>
    </w:rPr>
  </w:style>
  <w:style w:type="paragraph" w:customStyle="1" w:styleId="Byline">
    <w:name w:val="Byline"/>
    <w:rsid w:val="00977C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C1E"/>
    <w:pPr>
      <w:tabs>
        <w:tab w:val="clear" w:pos="3600"/>
        <w:tab w:val="clear" w:pos="3958"/>
      </w:tabs>
      <w:jc w:val="right"/>
    </w:pPr>
  </w:style>
  <w:style w:type="paragraph" w:styleId="Caption">
    <w:name w:val="caption"/>
    <w:basedOn w:val="BodyText"/>
    <w:next w:val="Normal"/>
    <w:qFormat/>
    <w:rsid w:val="00977C1E"/>
    <w:pPr>
      <w:framePr w:w="2268" w:hSpace="181" w:vSpace="181" w:wrap="around" w:vAnchor="text" w:hAnchor="page" w:x="1135" w:y="285" w:anchorLock="1"/>
    </w:pPr>
    <w:rPr>
      <w:i/>
    </w:rPr>
  </w:style>
  <w:style w:type="paragraph" w:customStyle="1" w:styleId="MiniTOCTitle">
    <w:name w:val="MiniTOCTitle"/>
    <w:basedOn w:val="Heading4"/>
    <w:rsid w:val="00977C1E"/>
    <w:pPr>
      <w:spacing w:before="240"/>
      <w:outlineLvl w:val="9"/>
    </w:pPr>
    <w:rPr>
      <w:noProof/>
      <w:sz w:val="24"/>
    </w:rPr>
  </w:style>
  <w:style w:type="paragraph" w:customStyle="1" w:styleId="MiniTOCItem">
    <w:name w:val="MiniTOCItem"/>
    <w:basedOn w:val="ListBullet"/>
    <w:rsid w:val="00977C1E"/>
    <w:pPr>
      <w:numPr>
        <w:numId w:val="0"/>
      </w:numPr>
      <w:tabs>
        <w:tab w:val="right" w:leader="dot" w:pos="6521"/>
      </w:tabs>
      <w:spacing w:before="0" w:after="0"/>
    </w:pPr>
  </w:style>
  <w:style w:type="paragraph" w:customStyle="1" w:styleId="TOFTitle">
    <w:name w:val="TOFTitle"/>
    <w:basedOn w:val="TOCTitle"/>
    <w:rsid w:val="00977C1E"/>
  </w:style>
  <w:style w:type="paragraph" w:styleId="TableofFigures">
    <w:name w:val="table of figures"/>
    <w:basedOn w:val="Normal"/>
    <w:next w:val="Normal"/>
    <w:semiHidden/>
    <w:rsid w:val="00977C1E"/>
    <w:pPr>
      <w:tabs>
        <w:tab w:val="right" w:leader="dot" w:pos="9072"/>
      </w:tabs>
      <w:ind w:left="970" w:hanging="403"/>
    </w:pPr>
    <w:rPr>
      <w:rFonts w:ascii="Times New Roman" w:hAnsi="Times New Roman"/>
      <w:b/>
    </w:rPr>
  </w:style>
  <w:style w:type="paragraph" w:styleId="ListNumber">
    <w:name w:val="List Number"/>
    <w:basedOn w:val="List"/>
    <w:rsid w:val="00977C1E"/>
    <w:pPr>
      <w:numPr>
        <w:numId w:val="11"/>
      </w:numPr>
    </w:pPr>
  </w:style>
  <w:style w:type="character" w:customStyle="1" w:styleId="WingdingSymbols">
    <w:name w:val="Wingding Symbols"/>
    <w:rsid w:val="00977C1E"/>
    <w:rPr>
      <w:rFonts w:ascii="Wingdings" w:hAnsi="Wingdings"/>
    </w:rPr>
  </w:style>
  <w:style w:type="paragraph" w:customStyle="1" w:styleId="TableHeading">
    <w:name w:val="Table Heading"/>
    <w:basedOn w:val="HeadingBase"/>
    <w:rsid w:val="00977C1E"/>
    <w:pPr>
      <w:keepLines/>
      <w:pBdr>
        <w:bottom w:val="single" w:sz="6" w:space="1" w:color="918585"/>
      </w:pBdr>
      <w:spacing w:before="240"/>
    </w:pPr>
  </w:style>
  <w:style w:type="character" w:customStyle="1" w:styleId="HotSpot">
    <w:name w:val="HotSpot"/>
    <w:rsid w:val="00977C1E"/>
    <w:rPr>
      <w:color w:val="0033CC"/>
      <w:u w:val="none"/>
    </w:rPr>
  </w:style>
  <w:style w:type="paragraph" w:customStyle="1" w:styleId="BodyTextRight">
    <w:name w:val="Body Text Right"/>
    <w:basedOn w:val="BodyText"/>
    <w:rsid w:val="00977C1E"/>
    <w:pPr>
      <w:spacing w:before="0" w:after="0"/>
      <w:jc w:val="right"/>
    </w:pPr>
  </w:style>
  <w:style w:type="paragraph" w:styleId="Index3">
    <w:name w:val="index 3"/>
    <w:basedOn w:val="ListNumber2"/>
    <w:next w:val="Normal"/>
    <w:semiHidden/>
    <w:rsid w:val="00977C1E"/>
    <w:pPr>
      <w:numPr>
        <w:numId w:val="0"/>
      </w:numPr>
      <w:tabs>
        <w:tab w:val="right" w:leader="dot" w:pos="4176"/>
      </w:tabs>
    </w:pPr>
  </w:style>
  <w:style w:type="paragraph" w:styleId="ListNumber2">
    <w:name w:val="List Number 2"/>
    <w:basedOn w:val="List2"/>
    <w:rsid w:val="00977C1E"/>
    <w:pPr>
      <w:numPr>
        <w:numId w:val="10"/>
      </w:numPr>
      <w:tabs>
        <w:tab w:val="clear" w:pos="1060"/>
      </w:tabs>
    </w:pPr>
  </w:style>
  <w:style w:type="paragraph" w:customStyle="1" w:styleId="MarginNote">
    <w:name w:val="Margin Note"/>
    <w:basedOn w:val="BodyText"/>
    <w:rsid w:val="00977C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C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C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7C1E"/>
    <w:rPr>
      <w:sz w:val="32"/>
    </w:rPr>
  </w:style>
  <w:style w:type="paragraph" w:customStyle="1" w:styleId="HeadingProcedure">
    <w:name w:val="Heading Procedure"/>
    <w:basedOn w:val="HeadingBase"/>
    <w:next w:val="Normal"/>
    <w:rsid w:val="00977C1E"/>
    <w:pPr>
      <w:tabs>
        <w:tab w:val="left" w:pos="0"/>
      </w:tabs>
      <w:spacing w:before="120" w:after="60"/>
    </w:pPr>
    <w:rPr>
      <w:i/>
      <w:color w:val="918585"/>
      <w:sz w:val="22"/>
    </w:rPr>
  </w:style>
  <w:style w:type="paragraph" w:customStyle="1" w:styleId="TableBodyText">
    <w:name w:val="Table Body Text"/>
    <w:basedOn w:val="BodyText"/>
    <w:rsid w:val="00977C1E"/>
    <w:pPr>
      <w:spacing w:before="60" w:after="60"/>
    </w:pPr>
  </w:style>
  <w:style w:type="paragraph" w:styleId="ListContinue">
    <w:name w:val="List Continue"/>
    <w:basedOn w:val="List"/>
    <w:rsid w:val="00977C1E"/>
    <w:pPr>
      <w:ind w:firstLine="0"/>
    </w:pPr>
  </w:style>
  <w:style w:type="paragraph" w:customStyle="1" w:styleId="ListNote">
    <w:name w:val="List Note"/>
    <w:basedOn w:val="List"/>
    <w:rsid w:val="00977C1E"/>
    <w:pPr>
      <w:pBdr>
        <w:top w:val="single" w:sz="6" w:space="2" w:color="918585"/>
        <w:bottom w:val="single" w:sz="6" w:space="2" w:color="918585"/>
      </w:pBdr>
      <w:tabs>
        <w:tab w:val="left" w:pos="1021"/>
      </w:tabs>
      <w:ind w:firstLine="0"/>
    </w:pPr>
  </w:style>
  <w:style w:type="paragraph" w:customStyle="1" w:styleId="Warning">
    <w:name w:val="Warning"/>
    <w:basedOn w:val="BodyText"/>
    <w:rsid w:val="00977C1E"/>
    <w:pPr>
      <w:shd w:val="clear" w:color="auto" w:fill="D9D9D9"/>
      <w:tabs>
        <w:tab w:val="left" w:pos="992"/>
      </w:tabs>
      <w:ind w:left="119" w:right="119"/>
    </w:pPr>
    <w:rPr>
      <w:sz w:val="20"/>
    </w:rPr>
  </w:style>
  <w:style w:type="paragraph" w:customStyle="1" w:styleId="MarginIcons">
    <w:name w:val="Margin Icons"/>
    <w:basedOn w:val="BodyText"/>
    <w:rsid w:val="00977C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C1E"/>
    <w:rPr>
      <w:rFonts w:ascii="Courier New" w:hAnsi="Courier New"/>
    </w:rPr>
  </w:style>
  <w:style w:type="paragraph" w:customStyle="1" w:styleId="NoteBullet">
    <w:name w:val="Note Bullet"/>
    <w:basedOn w:val="Note"/>
    <w:rsid w:val="00977C1E"/>
    <w:pPr>
      <w:tabs>
        <w:tab w:val="clear" w:pos="680"/>
      </w:tabs>
      <w:spacing w:before="60" w:after="60"/>
    </w:pPr>
  </w:style>
  <w:style w:type="paragraph" w:customStyle="1" w:styleId="SubHeading2">
    <w:name w:val="SubHeading2"/>
    <w:basedOn w:val="HeadingBase"/>
    <w:rsid w:val="00977C1E"/>
    <w:pPr>
      <w:spacing w:before="240" w:after="60"/>
    </w:pPr>
    <w:rPr>
      <w:sz w:val="20"/>
    </w:rPr>
  </w:style>
  <w:style w:type="paragraph" w:customStyle="1" w:styleId="SubHeading1">
    <w:name w:val="SubHeading1"/>
    <w:basedOn w:val="HeadingBase"/>
    <w:rsid w:val="00977C1E"/>
    <w:pPr>
      <w:spacing w:before="240" w:after="60"/>
    </w:pPr>
    <w:rPr>
      <w:color w:val="918585"/>
      <w:sz w:val="22"/>
    </w:rPr>
  </w:style>
  <w:style w:type="paragraph" w:customStyle="1" w:styleId="SideHeading">
    <w:name w:val="Side Heading"/>
    <w:basedOn w:val="HeadingBase"/>
    <w:rsid w:val="00977C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C1E"/>
    <w:pPr>
      <w:numPr>
        <w:numId w:val="12"/>
      </w:numPr>
    </w:pPr>
  </w:style>
  <w:style w:type="paragraph" w:styleId="PlainText">
    <w:name w:val="Plain Text"/>
    <w:basedOn w:val="Normal"/>
    <w:link w:val="PlainTextChar"/>
    <w:rsid w:val="00977C1E"/>
    <w:rPr>
      <w:sz w:val="20"/>
    </w:rPr>
  </w:style>
  <w:style w:type="character" w:customStyle="1" w:styleId="PlainTextChar">
    <w:name w:val="Plain Text Char"/>
    <w:basedOn w:val="DefaultParagraphFont"/>
    <w:link w:val="PlainText"/>
    <w:rsid w:val="00977C1E"/>
    <w:rPr>
      <w:rFonts w:ascii="Courier New" w:eastAsia="Times New Roman" w:hAnsi="Courier New" w:cs="Times New Roman"/>
      <w:sz w:val="20"/>
      <w:szCs w:val="20"/>
      <w:lang w:eastAsia="en-US"/>
    </w:rPr>
  </w:style>
  <w:style w:type="character" w:customStyle="1" w:styleId="MenuOption">
    <w:name w:val="Menu Option"/>
    <w:basedOn w:val="DefaultParagraphFont"/>
    <w:rsid w:val="00977C1E"/>
    <w:rPr>
      <w:b/>
      <w:smallCaps/>
    </w:rPr>
  </w:style>
  <w:style w:type="paragraph" w:customStyle="1" w:styleId="TableListNumber">
    <w:name w:val="Table List Number"/>
    <w:basedOn w:val="ListNumber"/>
    <w:rsid w:val="00977C1E"/>
    <w:pPr>
      <w:numPr>
        <w:numId w:val="0"/>
      </w:numPr>
    </w:pPr>
  </w:style>
  <w:style w:type="paragraph" w:styleId="TOC4">
    <w:name w:val="toc 4"/>
    <w:basedOn w:val="TOCBase"/>
    <w:next w:val="Normal"/>
    <w:semiHidden/>
    <w:rsid w:val="00977C1E"/>
    <w:pPr>
      <w:tabs>
        <w:tab w:val="right" w:leader="dot" w:pos="9071"/>
      </w:tabs>
      <w:ind w:left="1701"/>
    </w:pPr>
  </w:style>
  <w:style w:type="paragraph" w:customStyle="1" w:styleId="ListAlpha">
    <w:name w:val="List Alpha"/>
    <w:basedOn w:val="List"/>
    <w:rsid w:val="00977C1E"/>
    <w:pPr>
      <w:numPr>
        <w:numId w:val="9"/>
      </w:numPr>
    </w:pPr>
  </w:style>
  <w:style w:type="paragraph" w:customStyle="1" w:styleId="ListAlpha2">
    <w:name w:val="List Alpha 2"/>
    <w:basedOn w:val="List2"/>
    <w:rsid w:val="00977C1E"/>
    <w:pPr>
      <w:numPr>
        <w:numId w:val="8"/>
      </w:numPr>
    </w:pPr>
  </w:style>
  <w:style w:type="paragraph" w:styleId="List2">
    <w:name w:val="List 2"/>
    <w:basedOn w:val="BodyText"/>
    <w:rsid w:val="00977C1E"/>
    <w:pPr>
      <w:tabs>
        <w:tab w:val="left" w:pos="680"/>
      </w:tabs>
      <w:spacing w:before="60" w:after="60"/>
      <w:ind w:left="680" w:hanging="340"/>
    </w:pPr>
  </w:style>
  <w:style w:type="paragraph" w:styleId="List3">
    <w:name w:val="List 3"/>
    <w:basedOn w:val="BodyText"/>
    <w:rsid w:val="00977C1E"/>
    <w:pPr>
      <w:tabs>
        <w:tab w:val="left" w:pos="1021"/>
      </w:tabs>
      <w:spacing w:before="60" w:after="60"/>
      <w:ind w:left="1020" w:hanging="340"/>
    </w:pPr>
  </w:style>
  <w:style w:type="paragraph" w:styleId="List4">
    <w:name w:val="List 4"/>
    <w:basedOn w:val="BodyText"/>
    <w:rsid w:val="00977C1E"/>
    <w:pPr>
      <w:tabs>
        <w:tab w:val="left" w:pos="1361"/>
      </w:tabs>
      <w:spacing w:before="60" w:after="60"/>
      <w:ind w:left="1361" w:hanging="340"/>
    </w:pPr>
  </w:style>
  <w:style w:type="paragraph" w:styleId="List5">
    <w:name w:val="List 5"/>
    <w:basedOn w:val="BodyText"/>
    <w:rsid w:val="00977C1E"/>
    <w:pPr>
      <w:tabs>
        <w:tab w:val="left" w:pos="1701"/>
      </w:tabs>
      <w:spacing w:before="60" w:after="60"/>
      <w:ind w:left="1701" w:hanging="340"/>
    </w:pPr>
  </w:style>
  <w:style w:type="paragraph" w:styleId="ListBullet3">
    <w:name w:val="List Bullet 3"/>
    <w:basedOn w:val="List3"/>
    <w:rsid w:val="00977C1E"/>
    <w:pPr>
      <w:numPr>
        <w:numId w:val="15"/>
      </w:numPr>
      <w:tabs>
        <w:tab w:val="clear" w:pos="1021"/>
      </w:tabs>
      <w:ind w:left="1037" w:hanging="357"/>
    </w:pPr>
  </w:style>
  <w:style w:type="paragraph" w:styleId="ListBullet4">
    <w:name w:val="List Bullet 4"/>
    <w:basedOn w:val="List4"/>
    <w:rsid w:val="00977C1E"/>
    <w:pPr>
      <w:numPr>
        <w:numId w:val="3"/>
      </w:numPr>
      <w:tabs>
        <w:tab w:val="clear" w:pos="1361"/>
      </w:tabs>
    </w:pPr>
  </w:style>
  <w:style w:type="paragraph" w:styleId="ListBullet5">
    <w:name w:val="List Bullet 5"/>
    <w:basedOn w:val="List5"/>
    <w:rsid w:val="00977C1E"/>
    <w:pPr>
      <w:numPr>
        <w:numId w:val="4"/>
      </w:numPr>
    </w:pPr>
  </w:style>
  <w:style w:type="paragraph" w:styleId="ListContinue2">
    <w:name w:val="List Continue 2"/>
    <w:basedOn w:val="List2"/>
    <w:rsid w:val="00977C1E"/>
    <w:pPr>
      <w:ind w:firstLine="0"/>
    </w:pPr>
  </w:style>
  <w:style w:type="paragraph" w:styleId="ListContinue3">
    <w:name w:val="List Continue 3"/>
    <w:basedOn w:val="List3"/>
    <w:rsid w:val="00977C1E"/>
    <w:pPr>
      <w:ind w:left="1021" w:firstLine="0"/>
    </w:pPr>
  </w:style>
  <w:style w:type="paragraph" w:styleId="ListContinue4">
    <w:name w:val="List Continue 4"/>
    <w:basedOn w:val="List4"/>
    <w:rsid w:val="00977C1E"/>
    <w:pPr>
      <w:ind w:firstLine="0"/>
    </w:pPr>
  </w:style>
  <w:style w:type="paragraph" w:styleId="ListContinue5">
    <w:name w:val="List Continue 5"/>
    <w:basedOn w:val="List5"/>
    <w:rsid w:val="00977C1E"/>
    <w:pPr>
      <w:ind w:firstLine="0"/>
    </w:pPr>
  </w:style>
  <w:style w:type="paragraph" w:styleId="ListNumber3">
    <w:name w:val="List Number 3"/>
    <w:basedOn w:val="List3"/>
    <w:rsid w:val="00977C1E"/>
    <w:pPr>
      <w:numPr>
        <w:numId w:val="5"/>
      </w:numPr>
    </w:pPr>
  </w:style>
  <w:style w:type="paragraph" w:styleId="ListNumber4">
    <w:name w:val="List Number 4"/>
    <w:basedOn w:val="List4"/>
    <w:rsid w:val="00977C1E"/>
    <w:pPr>
      <w:numPr>
        <w:numId w:val="6"/>
      </w:numPr>
    </w:pPr>
  </w:style>
  <w:style w:type="paragraph" w:styleId="ListNumber5">
    <w:name w:val="List Number 5"/>
    <w:basedOn w:val="List5"/>
    <w:rsid w:val="00977C1E"/>
    <w:pPr>
      <w:numPr>
        <w:numId w:val="7"/>
      </w:numPr>
    </w:pPr>
  </w:style>
  <w:style w:type="paragraph" w:styleId="BlockText">
    <w:name w:val="Block Text"/>
    <w:basedOn w:val="Normal"/>
    <w:rsid w:val="00977C1E"/>
    <w:pPr>
      <w:spacing w:after="120"/>
      <w:ind w:left="1440" w:right="1440"/>
    </w:pPr>
  </w:style>
  <w:style w:type="character" w:customStyle="1" w:styleId="Subscript">
    <w:name w:val="Subscript"/>
    <w:basedOn w:val="DefaultParagraphFont"/>
    <w:rsid w:val="00977C1E"/>
    <w:rPr>
      <w:sz w:val="16"/>
      <w:vertAlign w:val="subscript"/>
    </w:rPr>
  </w:style>
  <w:style w:type="character" w:customStyle="1" w:styleId="Superscript">
    <w:name w:val="Superscript"/>
    <w:basedOn w:val="DefaultParagraphFont"/>
    <w:rsid w:val="00977C1E"/>
    <w:rPr>
      <w:sz w:val="16"/>
      <w:vertAlign w:val="superscript"/>
    </w:rPr>
  </w:style>
  <w:style w:type="character" w:customStyle="1" w:styleId="Symbols">
    <w:name w:val="Symbols"/>
    <w:basedOn w:val="DefaultParagraphFont"/>
    <w:rsid w:val="00977C1E"/>
    <w:rPr>
      <w:rFonts w:ascii="Symbol" w:hAnsi="Symbol"/>
    </w:rPr>
  </w:style>
  <w:style w:type="character" w:customStyle="1" w:styleId="MenuOptions">
    <w:name w:val="Menu Options"/>
    <w:basedOn w:val="DefaultParagraphFont"/>
    <w:rsid w:val="00977C1E"/>
    <w:rPr>
      <w:rFonts w:ascii="Arial Narrow" w:hAnsi="Arial Narrow"/>
      <w:smallCaps/>
    </w:rPr>
  </w:style>
  <w:style w:type="character" w:customStyle="1" w:styleId="Buttons">
    <w:name w:val="Buttons"/>
    <w:basedOn w:val="DefaultParagraphFont"/>
    <w:rsid w:val="00977C1E"/>
    <w:rPr>
      <w:b/>
    </w:rPr>
  </w:style>
  <w:style w:type="character" w:customStyle="1" w:styleId="Underlined">
    <w:name w:val="Underlined"/>
    <w:basedOn w:val="DefaultParagraphFont"/>
    <w:rsid w:val="00977C1E"/>
    <w:rPr>
      <w:u w:val="single"/>
    </w:rPr>
  </w:style>
  <w:style w:type="paragraph" w:customStyle="1" w:styleId="TableBodyTextRight">
    <w:name w:val="Table Body Text Right"/>
    <w:basedOn w:val="TableBodyText"/>
    <w:rsid w:val="00977C1E"/>
    <w:pPr>
      <w:widowControl w:val="0"/>
      <w:autoSpaceDE w:val="0"/>
      <w:autoSpaceDN w:val="0"/>
      <w:adjustRightInd w:val="0"/>
      <w:jc w:val="right"/>
    </w:pPr>
    <w:rPr>
      <w:rFonts w:cs="Arial"/>
      <w:szCs w:val="18"/>
    </w:rPr>
  </w:style>
  <w:style w:type="paragraph" w:customStyle="1" w:styleId="CopyrightText">
    <w:name w:val="Copyright Text"/>
    <w:basedOn w:val="BodyText"/>
    <w:rsid w:val="00977C1E"/>
    <w:rPr>
      <w:sz w:val="18"/>
    </w:rPr>
  </w:style>
  <w:style w:type="paragraph" w:customStyle="1" w:styleId="BodySmallRight">
    <w:name w:val="Body Small Right"/>
    <w:basedOn w:val="BodyTextRight"/>
    <w:rsid w:val="00977C1E"/>
    <w:rPr>
      <w:sz w:val="18"/>
      <w:szCs w:val="18"/>
    </w:rPr>
  </w:style>
  <w:style w:type="paragraph" w:customStyle="1" w:styleId="MarginEdition">
    <w:name w:val="Margin Edition"/>
    <w:basedOn w:val="MarginNote"/>
    <w:rsid w:val="00977C1E"/>
    <w:pPr>
      <w:spacing w:before="0" w:after="0"/>
    </w:pPr>
    <w:rPr>
      <w:rFonts w:ascii="Times New Roman" w:hAnsi="Times New Roman"/>
      <w:color w:val="999999"/>
    </w:rPr>
  </w:style>
  <w:style w:type="paragraph" w:customStyle="1" w:styleId="Spacer">
    <w:name w:val="Spacer"/>
    <w:basedOn w:val="Normal"/>
    <w:rsid w:val="00977C1E"/>
    <w:rPr>
      <w:sz w:val="2"/>
      <w:szCs w:val="2"/>
    </w:rPr>
  </w:style>
  <w:style w:type="character" w:customStyle="1" w:styleId="Small">
    <w:name w:val="Small"/>
    <w:basedOn w:val="DefaultParagraphFont"/>
    <w:rsid w:val="00977C1E"/>
    <w:rPr>
      <w:sz w:val="16"/>
    </w:rPr>
  </w:style>
  <w:style w:type="paragraph" w:customStyle="1" w:styleId="WideTable">
    <w:name w:val="Wide Table"/>
    <w:basedOn w:val="Normal"/>
    <w:rsid w:val="00977C1E"/>
    <w:pPr>
      <w:ind w:left="-1418"/>
    </w:pPr>
    <w:rPr>
      <w:sz w:val="2"/>
      <w:szCs w:val="2"/>
    </w:rPr>
  </w:style>
  <w:style w:type="character" w:styleId="PageNumber">
    <w:name w:val="page number"/>
    <w:basedOn w:val="DefaultParagraphFont"/>
    <w:rsid w:val="00977C1E"/>
  </w:style>
  <w:style w:type="paragraph" w:styleId="Quote">
    <w:name w:val="Quote"/>
    <w:basedOn w:val="Heading1"/>
    <w:link w:val="QuoteChar"/>
    <w:qFormat/>
    <w:rsid w:val="00977C1E"/>
    <w:rPr>
      <w:b w:val="0"/>
      <w:sz w:val="72"/>
      <w:szCs w:val="72"/>
      <w:lang w:val="en-NZ"/>
    </w:rPr>
  </w:style>
  <w:style w:type="character" w:customStyle="1" w:styleId="QuoteChar">
    <w:name w:val="Quote Char"/>
    <w:basedOn w:val="DefaultParagraphFont"/>
    <w:link w:val="Quote"/>
    <w:rsid w:val="00977C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C1E"/>
    <w:pPr>
      <w:pageBreakBefore/>
    </w:pPr>
  </w:style>
  <w:style w:type="paragraph" w:customStyle="1" w:styleId="Border">
    <w:name w:val="Border"/>
    <w:basedOn w:val="Normal"/>
    <w:qFormat/>
    <w:rsid w:val="00977C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C1E"/>
    <w:rPr>
      <w:b/>
      <w:bCs/>
      <w:i/>
      <w:iCs/>
      <w:color w:val="auto"/>
    </w:rPr>
  </w:style>
  <w:style w:type="paragraph" w:styleId="IntenseQuote">
    <w:name w:val="Intense Quote"/>
    <w:basedOn w:val="Normal"/>
    <w:next w:val="Normal"/>
    <w:link w:val="IntenseQuoteChar"/>
    <w:uiPriority w:val="30"/>
    <w:qFormat/>
    <w:rsid w:val="00977C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C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7C1E"/>
    <w:rPr>
      <w:smallCaps/>
      <w:color w:val="auto"/>
      <w:u w:val="single"/>
    </w:rPr>
  </w:style>
  <w:style w:type="character" w:styleId="IntenseReference">
    <w:name w:val="Intense Reference"/>
    <w:basedOn w:val="DefaultParagraphFont"/>
    <w:uiPriority w:val="32"/>
    <w:qFormat/>
    <w:rsid w:val="00977C1E"/>
    <w:rPr>
      <w:b/>
      <w:bCs/>
      <w:smallCaps/>
      <w:color w:val="auto"/>
      <w:spacing w:val="5"/>
      <w:u w:val="single"/>
    </w:rPr>
  </w:style>
  <w:style w:type="paragraph" w:customStyle="1" w:styleId="2ColumnHeading">
    <w:name w:val="2Column Heading"/>
    <w:basedOn w:val="BodyText"/>
    <w:qFormat/>
    <w:rsid w:val="00977C1E"/>
    <w:pPr>
      <w:spacing w:after="60"/>
      <w:ind w:left="-2268"/>
    </w:pPr>
    <w:rPr>
      <w:b/>
    </w:rPr>
  </w:style>
  <w:style w:type="paragraph" w:customStyle="1" w:styleId="Heading1TOC">
    <w:name w:val="Heading1 TOC"/>
    <w:basedOn w:val="Normal"/>
    <w:qFormat/>
    <w:rsid w:val="00977C1E"/>
    <w:pPr>
      <w:spacing w:before="240" w:after="120"/>
    </w:pPr>
    <w:rPr>
      <w:rFonts w:ascii="Times New Roman" w:hAnsi="Times New Roman"/>
      <w:b/>
      <w:sz w:val="32"/>
    </w:rPr>
  </w:style>
  <w:style w:type="paragraph" w:customStyle="1" w:styleId="Heading2TOC">
    <w:name w:val="Heading2 TOC"/>
    <w:basedOn w:val="Normal"/>
    <w:qFormat/>
    <w:rsid w:val="00977C1E"/>
    <w:pPr>
      <w:spacing w:before="240" w:after="60"/>
    </w:pPr>
    <w:rPr>
      <w:rFonts w:ascii="Times New Roman" w:hAnsi="Times New Roman"/>
      <w:b/>
      <w:sz w:val="28"/>
    </w:rPr>
  </w:style>
  <w:style w:type="character" w:customStyle="1" w:styleId="Underline">
    <w:name w:val="Underline"/>
    <w:basedOn w:val="DefaultParagraphFont"/>
    <w:qFormat/>
    <w:rsid w:val="00977C1E"/>
    <w:rPr>
      <w:u w:val="single"/>
    </w:rPr>
  </w:style>
  <w:style w:type="character" w:customStyle="1" w:styleId="BoldandItalics">
    <w:name w:val="Bold and Italics"/>
    <w:qFormat/>
    <w:rsid w:val="00977C1E"/>
    <w:rPr>
      <w:b/>
      <w:i/>
      <w:u w:val="none"/>
    </w:rPr>
  </w:style>
  <w:style w:type="paragraph" w:styleId="BalloonText">
    <w:name w:val="Balloon Text"/>
    <w:basedOn w:val="Normal"/>
    <w:link w:val="BalloonTextChar"/>
    <w:rsid w:val="00977C1E"/>
    <w:rPr>
      <w:rFonts w:ascii="Tahoma" w:hAnsi="Tahoma" w:cs="Tahoma"/>
      <w:sz w:val="16"/>
      <w:szCs w:val="16"/>
    </w:rPr>
  </w:style>
  <w:style w:type="character" w:customStyle="1" w:styleId="BalloonTextChar">
    <w:name w:val="Balloon Text Char"/>
    <w:basedOn w:val="DefaultParagraphFont"/>
    <w:link w:val="BalloonText"/>
    <w:rsid w:val="00977C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7C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7C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7C1E"/>
    <w:rPr>
      <w:b/>
      <w:color w:val="660033"/>
      <w:spacing w:val="0"/>
    </w:rPr>
  </w:style>
  <w:style w:type="paragraph" w:customStyle="1" w:styleId="Nameditemlist">
    <w:name w:val="Named item list"/>
    <w:basedOn w:val="BodyText"/>
    <w:qFormat/>
    <w:rsid w:val="00977C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972</Words>
  <Characters>6316</Characters>
  <Application>Microsoft Office Word</Application>
  <DocSecurity>0</DocSecurity>
  <Lines>268</Lines>
  <Paragraphs>149</Paragraphs>
  <ScaleCrop>false</ScaleCrop>
  <Company>Author-it Software Corporation Ltd.</Company>
  <LinksUpToDate>false</LinksUpToDate>
  <CharactersWithSpaces>7242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MSFSL5003 Conserve heritage leadlight and stained glass</dc:title>
  <dc:subject>Approved</dc:subject>
  <dc:creator>Manufacturing Skills Australia</dc:creator>
  <cp:keywords>Release: 1</cp:keywords>
  <dc:description>Review Date: 12 April 2008</dc:description>
  <cp:lastModifiedBy>TPCMS</cp:lastModifiedBy>
  <cp:revision>3</cp:revision>
  <dcterms:created xsi:type="dcterms:W3CDTF">2016-12-09T03:56:00Z</dcterms:created>
  <dcterms:modified xsi:type="dcterms:W3CDTF">2016-12-09T03:56:00Z</dcterms:modified>
</cp:coreProperties>
</file>