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6B30" w:rsidP="00316B30">
      <w:pPr>
        <w:pStyle w:val="Title"/>
      </w:pPr>
      <w:r>
        <w:fldChar w:fldCharType="begin"/>
      </w:r>
      <w:r>
        <w:instrText xml:space="preserve"> TITLE   \* MERGEFORMAT </w:instrText>
      </w:r>
      <w:r>
        <w:fldChar w:fldCharType="separate"/>
      </w:r>
      <w:r>
        <w:t>MSFSL5003 Conserve heritage leadlight and stained glass</w:t>
      </w:r>
      <w:r>
        <w:fldChar w:fldCharType="end"/>
      </w:r>
    </w:p>
    <w:p w:rsidR="00316B30" w:rsidP="00316B30">
      <w:pPr>
        <w:pStyle w:val="Version"/>
        <w:sectPr w:rsidSect="00F731A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31A8" w:rsidP="00F731A8">
      <w:pPr>
        <w:pStyle w:val="SuperHeading"/>
      </w:pPr>
      <w:r w:rsidRPr="00F731A8">
        <w:t>MSFSL5003 Conserve heritage leadlight and stained glass</w:t>
      </w:r>
    </w:p>
    <w:p w:rsidR="00000000" w:rsidRPr="00F731A8" w:rsidP="00F731A8">
      <w:pPr>
        <w:pStyle w:val="Heading1"/>
      </w:pPr>
      <w:bookmarkStart w:id="1" w:name="O_621594"/>
      <w:bookmarkEnd w:id="1"/>
      <w:r w:rsidRPr="00F731A8">
        <w:t>Modification History</w:t>
      </w:r>
    </w:p>
    <w:p w:rsidR="00000000" w:rsidRPr="00F731A8" w:rsidP="00316B30">
      <w:pPr>
        <w:pStyle w:val="BodyText"/>
      </w:pPr>
      <w:r w:rsidRPr="00F731A8">
        <w:t>Release 1 - New unit of competency</w:t>
      </w:r>
    </w:p>
    <w:p w:rsidR="00000000" w:rsidRPr="00F731A8" w:rsidP="00F731A8">
      <w:pPr>
        <w:pStyle w:val="Heading1"/>
      </w:pPr>
      <w:bookmarkStart w:id="2" w:name="O_621602"/>
      <w:bookmarkEnd w:id="2"/>
      <w:r w:rsidRPr="00F731A8">
        <w:t>Application</w:t>
      </w:r>
    </w:p>
    <w:p w:rsidR="00000000" w:rsidRPr="00F731A8" w:rsidP="00316B30">
      <w:pPr>
        <w:pStyle w:val="BodyText"/>
      </w:pPr>
      <w:r w:rsidRPr="00F731A8">
        <w:t>This unit of competency covers conserving heritage leadlight and stained glass by preservation, restoration or reconstruction under the principles determin</w:t>
      </w:r>
      <w:r w:rsidRPr="00F731A8">
        <w:t>ed by the Australia International Council on Monuments and Sites (ICOMOS) Burra Charter.</w:t>
      </w:r>
    </w:p>
    <w:p w:rsidR="00000000" w:rsidRPr="00F731A8" w:rsidP="00316B30">
      <w:pPr>
        <w:pStyle w:val="BodyText"/>
      </w:pPr>
      <w:r w:rsidRPr="00F731A8">
        <w:t>Licensing, legislative or certification requirements may apply to this unit and relevant state/territory and local government agencies should be consulted to determin</w:t>
      </w:r>
      <w:r w:rsidRPr="00F731A8">
        <w:t xml:space="preserve">e any necessary certification or licensing for undertaking glass and glazing work. Access to construction sites requires certification of general induction training specified by the </w:t>
      </w:r>
      <w:r w:rsidRPr="00F731A8">
        <w:rPr>
          <w:rStyle w:val="Emphasis"/>
        </w:rPr>
        <w:t>National Code of Practice for Induction for Construction Work (ASCC 2007)</w:t>
      </w:r>
      <w:r w:rsidRPr="00F731A8">
        <w:t>.</w:t>
      </w:r>
    </w:p>
    <w:p w:rsidR="00000000" w:rsidRPr="00F731A8" w:rsidP="00F731A8">
      <w:pPr>
        <w:pStyle w:val="Heading1"/>
      </w:pPr>
      <w:bookmarkStart w:id="3" w:name="O_621601"/>
      <w:bookmarkEnd w:id="3"/>
      <w:r w:rsidRPr="00F731A8">
        <w:t>Pre-requisite Unit</w:t>
      </w:r>
    </w:p>
    <w:p w:rsidR="00000000" w:rsidRPr="00F731A8" w:rsidP="00F731A8">
      <w:pPr>
        <w:pStyle w:val="Heading1"/>
      </w:pPr>
      <w:bookmarkStart w:id="4" w:name="O_621600"/>
      <w:bookmarkEnd w:id="4"/>
      <w:r w:rsidRPr="00F731A8">
        <w:t>Competency Field</w:t>
      </w:r>
    </w:p>
    <w:p w:rsidR="00000000" w:rsidRPr="00F731A8" w:rsidP="00F731A8">
      <w:pPr>
        <w:pStyle w:val="Heading1"/>
      </w:pPr>
      <w:bookmarkStart w:id="5" w:name="O_621599"/>
      <w:bookmarkEnd w:id="5"/>
      <w:r w:rsidRPr="00F731A8">
        <w:t>Unit Sector</w:t>
      </w:r>
    </w:p>
    <w:p w:rsidR="00000000" w:rsidRPr="00F731A8" w:rsidP="00316B30">
      <w:pPr>
        <w:pStyle w:val="BodyText"/>
      </w:pPr>
      <w:r w:rsidRPr="00F731A8">
        <w:t>Leadlight and Stained Glass</w:t>
      </w:r>
    </w:p>
    <w:p w:rsidR="00000000" w:rsidRPr="00F731A8" w:rsidP="00F731A8">
      <w:pPr>
        <w:pStyle w:val="Heading1"/>
      </w:pPr>
      <w:bookmarkStart w:id="6" w:name="O_621598"/>
      <w:bookmarkEnd w:id="6"/>
      <w:r w:rsidRPr="00F731A8">
        <w:t>Elements and Performance Criteria</w:t>
      </w:r>
    </w:p>
    <w:tbl>
      <w:tblPr>
        <w:tblW w:w="9286" w:type="dxa"/>
        <w:tblLayout w:type="fixed"/>
        <w:tblCellMar>
          <w:left w:w="62" w:type="dxa"/>
          <w:right w:w="62" w:type="dxa"/>
        </w:tblCellMar>
        <w:tblLook w:val="0000"/>
      </w:tblPr>
      <w:tblGrid>
        <w:gridCol w:w="630"/>
        <w:gridCol w:w="2129"/>
        <w:gridCol w:w="661"/>
        <w:gridCol w:w="5866"/>
      </w:tblGrid>
      <w:tr w:rsidTr="00F731A8">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F731A8">
            <w:pPr>
              <w:pStyle w:val="BodyText"/>
              <w:rPr>
                <w:lang w:val="en-NZ"/>
              </w:rPr>
            </w:pPr>
            <w:r w:rsidRPr="00F731A8">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F731A8">
            <w:pPr>
              <w:pStyle w:val="BodyText"/>
              <w:rPr>
                <w:lang w:val="en-NZ"/>
              </w:rPr>
            </w:pPr>
            <w:r w:rsidRPr="00F731A8">
              <w:t>Performance criteria describe the pe</w:t>
            </w:r>
            <w:r w:rsidRPr="00F731A8">
              <w:t>rformance needed to demonstrate achievement of the element.</w:t>
            </w:r>
          </w:p>
        </w:tc>
      </w:tr>
      <w:tr w:rsidTr="00F731A8">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F731A8">
            <w:pPr>
              <w:pStyle w:val="BodyText"/>
              <w:rPr>
                <w:lang w:val="en-NZ"/>
              </w:rPr>
            </w:pPr>
            <w:r w:rsidRPr="00F731A8">
              <w:t>1</w:t>
            </w:r>
          </w:p>
        </w:tc>
        <w:tc>
          <w:tcPr>
            <w:tcW w:w="2129" w:type="dxa"/>
            <w:tcBorders>
              <w:top w:val="nil"/>
              <w:left w:val="nil"/>
              <w:bottom w:val="nil"/>
              <w:right w:val="nil"/>
            </w:tcBorders>
            <w:tcMar>
              <w:top w:w="0" w:type="dxa"/>
              <w:left w:w="62" w:type="dxa"/>
              <w:bottom w:w="0" w:type="dxa"/>
              <w:right w:w="62" w:type="dxa"/>
            </w:tcMar>
          </w:tcPr>
          <w:p w:rsidR="00000000" w:rsidP="00F731A8">
            <w:pPr>
              <w:pStyle w:val="BodyText"/>
              <w:rPr>
                <w:lang w:val="en-NZ"/>
              </w:rPr>
            </w:pPr>
            <w:r w:rsidRPr="00F731A8">
              <w:t>Identify conservation requirements</w:t>
            </w:r>
          </w:p>
        </w:tc>
        <w:tc>
          <w:tcPr>
            <w:tcW w:w="661" w:type="dxa"/>
            <w:tcBorders>
              <w:top w:val="nil"/>
              <w:left w:val="nil"/>
              <w:bottom w:val="nil"/>
              <w:right w:val="nil"/>
            </w:tcBorders>
            <w:tcMar>
              <w:top w:w="0" w:type="dxa"/>
              <w:left w:w="62" w:type="dxa"/>
              <w:bottom w:w="0" w:type="dxa"/>
              <w:right w:w="62" w:type="dxa"/>
            </w:tcMar>
          </w:tcPr>
          <w:p w:rsidR="00000000" w:rsidP="00F731A8">
            <w:pPr>
              <w:pStyle w:val="BodyText"/>
              <w:rPr>
                <w:lang w:val="en-NZ"/>
              </w:rPr>
            </w:pPr>
            <w:r w:rsidRPr="00F731A8">
              <w:t>1.1</w:t>
            </w:r>
          </w:p>
        </w:tc>
        <w:tc>
          <w:tcPr>
            <w:tcW w:w="5866" w:type="dxa"/>
            <w:tcBorders>
              <w:top w:val="nil"/>
              <w:left w:val="nil"/>
              <w:bottom w:val="nil"/>
              <w:right w:val="nil"/>
            </w:tcBorders>
            <w:tcMar>
              <w:top w:w="0" w:type="dxa"/>
              <w:left w:w="62" w:type="dxa"/>
              <w:bottom w:w="0" w:type="dxa"/>
              <w:right w:w="62" w:type="dxa"/>
            </w:tcMar>
          </w:tcPr>
          <w:p w:rsidR="00000000" w:rsidP="00F731A8">
            <w:pPr>
              <w:pStyle w:val="BodyText"/>
              <w:rPr>
                <w:lang w:val="en-NZ"/>
              </w:rPr>
            </w:pPr>
            <w:r w:rsidRPr="00F731A8">
              <w:t>Applicable work health and safety (WHS), legislative and organisational requirements relevant to leadlight and stained glass operations are verified and complied with</w:t>
            </w:r>
          </w:p>
        </w:tc>
      </w:tr>
      <w:tr w:rsidTr="00F731A8">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731A8">
            <w:pPr>
              <w:pStyle w:val="BodyText"/>
              <w:rPr>
                <w:lang w:val="en-NZ"/>
              </w:rPr>
            </w:pPr>
            <w:r w:rsidRPr="00F731A8">
              <w:t>1.2</w:t>
            </w:r>
          </w:p>
        </w:tc>
        <w:tc>
          <w:tcPr>
            <w:tcW w:w="5866" w:type="dxa"/>
            <w:tcBorders>
              <w:top w:val="nil"/>
              <w:left w:val="nil"/>
              <w:bottom w:val="nil"/>
              <w:right w:val="nil"/>
            </w:tcBorders>
            <w:tcMar>
              <w:top w:w="0" w:type="dxa"/>
              <w:left w:w="62" w:type="dxa"/>
              <w:bottom w:w="0" w:type="dxa"/>
              <w:right w:w="62" w:type="dxa"/>
            </w:tcMar>
          </w:tcPr>
          <w:p w:rsidR="00000000" w:rsidP="00F731A8">
            <w:pPr>
              <w:pStyle w:val="BodyText"/>
              <w:rPr>
                <w:lang w:val="en-NZ"/>
              </w:rPr>
            </w:pPr>
            <w:r w:rsidRPr="00F731A8">
              <w:t xml:space="preserve">Detailed inspections of the heritage leadlight and stained glass are conducted to </w:t>
            </w:r>
            <w:r w:rsidRPr="00F731A8">
              <w:t>verify conservation requirements</w:t>
            </w:r>
          </w:p>
        </w:tc>
      </w:tr>
      <w:tr w:rsidTr="00F731A8">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731A8">
            <w:pPr>
              <w:pStyle w:val="BodyText"/>
              <w:rPr>
                <w:lang w:val="en-NZ"/>
              </w:rPr>
            </w:pPr>
            <w:r w:rsidRPr="00F731A8">
              <w:t>1.3</w:t>
            </w:r>
          </w:p>
        </w:tc>
        <w:tc>
          <w:tcPr>
            <w:tcW w:w="5866" w:type="dxa"/>
            <w:tcBorders>
              <w:top w:val="nil"/>
              <w:left w:val="nil"/>
              <w:bottom w:val="nil"/>
              <w:right w:val="nil"/>
            </w:tcBorders>
            <w:tcMar>
              <w:top w:w="0" w:type="dxa"/>
              <w:left w:w="62" w:type="dxa"/>
              <w:bottom w:w="0" w:type="dxa"/>
              <w:right w:w="62" w:type="dxa"/>
            </w:tcMar>
          </w:tcPr>
          <w:p w:rsidR="00000000" w:rsidP="00F731A8">
            <w:pPr>
              <w:pStyle w:val="BodyText"/>
              <w:rPr>
                <w:lang w:val="en-NZ"/>
              </w:rPr>
            </w:pPr>
            <w:r w:rsidRPr="00F731A8">
              <w:t xml:space="preserve">Conservation requirements are identified, confirmed and clarified with appropriate personnel </w:t>
            </w:r>
          </w:p>
        </w:tc>
      </w:tr>
      <w:tr w:rsidTr="00F731A8">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F731A8">
            <w:pPr>
              <w:pStyle w:val="BodyText"/>
              <w:rPr>
                <w:lang w:val="en-NZ"/>
              </w:rPr>
            </w:pPr>
            <w:r w:rsidRPr="00F731A8">
              <w:t>2</w:t>
            </w:r>
          </w:p>
        </w:tc>
        <w:tc>
          <w:tcPr>
            <w:tcW w:w="2129" w:type="dxa"/>
            <w:tcBorders>
              <w:top w:val="nil"/>
              <w:left w:val="nil"/>
              <w:bottom w:val="nil"/>
              <w:right w:val="nil"/>
            </w:tcBorders>
            <w:tcMar>
              <w:top w:w="0" w:type="dxa"/>
              <w:left w:w="62" w:type="dxa"/>
              <w:bottom w:w="0" w:type="dxa"/>
              <w:right w:w="62" w:type="dxa"/>
            </w:tcMar>
          </w:tcPr>
          <w:p w:rsidR="00000000" w:rsidP="00F731A8">
            <w:pPr>
              <w:pStyle w:val="BodyText"/>
              <w:rPr>
                <w:lang w:val="en-NZ"/>
              </w:rPr>
            </w:pPr>
            <w:r w:rsidRPr="00F731A8">
              <w:t>Plan conservation processes</w:t>
            </w:r>
          </w:p>
        </w:tc>
        <w:tc>
          <w:tcPr>
            <w:tcW w:w="661" w:type="dxa"/>
            <w:tcBorders>
              <w:top w:val="nil"/>
              <w:left w:val="nil"/>
              <w:bottom w:val="nil"/>
              <w:right w:val="nil"/>
            </w:tcBorders>
            <w:tcMar>
              <w:top w:w="0" w:type="dxa"/>
              <w:left w:w="62" w:type="dxa"/>
              <w:bottom w:w="0" w:type="dxa"/>
              <w:right w:w="62" w:type="dxa"/>
            </w:tcMar>
          </w:tcPr>
          <w:p w:rsidR="00000000" w:rsidP="00F731A8">
            <w:pPr>
              <w:pStyle w:val="BodyText"/>
              <w:rPr>
                <w:lang w:val="en-NZ"/>
              </w:rPr>
            </w:pPr>
            <w:r w:rsidRPr="00F731A8">
              <w:t>2.1</w:t>
            </w:r>
          </w:p>
        </w:tc>
        <w:tc>
          <w:tcPr>
            <w:tcW w:w="5866" w:type="dxa"/>
            <w:tcBorders>
              <w:top w:val="nil"/>
              <w:left w:val="nil"/>
              <w:bottom w:val="nil"/>
              <w:right w:val="nil"/>
            </w:tcBorders>
            <w:tcMar>
              <w:top w:w="0" w:type="dxa"/>
              <w:left w:w="62" w:type="dxa"/>
              <w:bottom w:w="0" w:type="dxa"/>
              <w:right w:w="62" w:type="dxa"/>
            </w:tcMar>
          </w:tcPr>
          <w:p w:rsidR="00000000" w:rsidP="00F731A8">
            <w:pPr>
              <w:pStyle w:val="BodyText"/>
              <w:rPr>
                <w:lang w:val="en-NZ"/>
              </w:rPr>
            </w:pPr>
            <w:r w:rsidRPr="00F731A8">
              <w:t xml:space="preserve">Conservation sequence is identified and a work plan is developed </w:t>
            </w:r>
          </w:p>
        </w:tc>
      </w:tr>
      <w:tr w:rsidTr="00F731A8">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731A8">
            <w:pPr>
              <w:pStyle w:val="BodyText"/>
              <w:rPr>
                <w:lang w:val="en-NZ"/>
              </w:rPr>
            </w:pPr>
            <w:r w:rsidRPr="00F731A8">
              <w:t>2.2</w:t>
            </w:r>
          </w:p>
        </w:tc>
        <w:tc>
          <w:tcPr>
            <w:tcW w:w="5866" w:type="dxa"/>
            <w:tcBorders>
              <w:top w:val="nil"/>
              <w:left w:val="nil"/>
              <w:bottom w:val="nil"/>
              <w:right w:val="nil"/>
            </w:tcBorders>
            <w:tcMar>
              <w:top w:w="0" w:type="dxa"/>
              <w:left w:w="62" w:type="dxa"/>
              <w:bottom w:w="0" w:type="dxa"/>
              <w:right w:w="62" w:type="dxa"/>
            </w:tcMar>
          </w:tcPr>
          <w:p w:rsidR="00000000" w:rsidP="00F731A8">
            <w:pPr>
              <w:pStyle w:val="BodyText"/>
              <w:rPr>
                <w:lang w:val="en-NZ"/>
              </w:rPr>
            </w:pPr>
            <w:r w:rsidRPr="00F731A8">
              <w:t>Tools and equipment required for the conservation are identified</w:t>
            </w:r>
          </w:p>
        </w:tc>
      </w:tr>
      <w:tr w:rsidTr="00F731A8">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731A8">
            <w:pPr>
              <w:pStyle w:val="BodyText"/>
              <w:rPr>
                <w:lang w:val="en-NZ"/>
              </w:rPr>
            </w:pPr>
            <w:r w:rsidRPr="00F731A8">
              <w:t>2.3</w:t>
            </w:r>
          </w:p>
        </w:tc>
        <w:tc>
          <w:tcPr>
            <w:tcW w:w="5866" w:type="dxa"/>
            <w:tcBorders>
              <w:top w:val="nil"/>
              <w:left w:val="nil"/>
              <w:bottom w:val="nil"/>
              <w:right w:val="nil"/>
            </w:tcBorders>
            <w:tcMar>
              <w:top w:w="0" w:type="dxa"/>
              <w:left w:w="62" w:type="dxa"/>
              <w:bottom w:w="0" w:type="dxa"/>
              <w:right w:w="62" w:type="dxa"/>
            </w:tcMar>
          </w:tcPr>
          <w:p w:rsidR="00000000" w:rsidP="00F731A8">
            <w:pPr>
              <w:pStyle w:val="BodyText"/>
              <w:rPr>
                <w:lang w:val="en-NZ"/>
              </w:rPr>
            </w:pPr>
            <w:r w:rsidRPr="00F731A8">
              <w:t>Approval of conservation plan is obtained as required by agreed procedures</w:t>
            </w:r>
          </w:p>
        </w:tc>
      </w:tr>
      <w:tr w:rsidTr="00F731A8">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F731A8">
            <w:pPr>
              <w:pStyle w:val="BodyText"/>
              <w:rPr>
                <w:lang w:val="en-NZ"/>
              </w:rPr>
            </w:pPr>
            <w:r w:rsidRPr="00F731A8">
              <w:t>3</w:t>
            </w:r>
          </w:p>
        </w:tc>
        <w:tc>
          <w:tcPr>
            <w:tcW w:w="2129" w:type="dxa"/>
            <w:tcBorders>
              <w:top w:val="nil"/>
              <w:left w:val="nil"/>
              <w:bottom w:val="nil"/>
              <w:right w:val="nil"/>
            </w:tcBorders>
            <w:tcMar>
              <w:top w:w="0" w:type="dxa"/>
              <w:left w:w="62" w:type="dxa"/>
              <w:bottom w:w="0" w:type="dxa"/>
              <w:right w:w="62" w:type="dxa"/>
            </w:tcMar>
          </w:tcPr>
          <w:p w:rsidR="00000000" w:rsidP="00F731A8">
            <w:pPr>
              <w:pStyle w:val="BodyText"/>
              <w:rPr>
                <w:lang w:val="en-NZ"/>
              </w:rPr>
            </w:pPr>
            <w:r w:rsidRPr="00F731A8">
              <w:t>Prepare for the conservation process</w:t>
            </w:r>
          </w:p>
        </w:tc>
        <w:tc>
          <w:tcPr>
            <w:tcW w:w="661" w:type="dxa"/>
            <w:tcBorders>
              <w:top w:val="nil"/>
              <w:left w:val="nil"/>
              <w:bottom w:val="nil"/>
              <w:right w:val="nil"/>
            </w:tcBorders>
            <w:tcMar>
              <w:top w:w="0" w:type="dxa"/>
              <w:left w:w="62" w:type="dxa"/>
              <w:bottom w:w="0" w:type="dxa"/>
              <w:right w:w="62" w:type="dxa"/>
            </w:tcMar>
          </w:tcPr>
          <w:p w:rsidR="00000000" w:rsidP="00F731A8">
            <w:pPr>
              <w:pStyle w:val="BodyText"/>
              <w:rPr>
                <w:lang w:val="en-NZ"/>
              </w:rPr>
            </w:pPr>
            <w:r w:rsidRPr="00F731A8">
              <w:t>3.1</w:t>
            </w:r>
          </w:p>
        </w:tc>
        <w:tc>
          <w:tcPr>
            <w:tcW w:w="5866" w:type="dxa"/>
            <w:tcBorders>
              <w:top w:val="nil"/>
              <w:left w:val="nil"/>
              <w:bottom w:val="nil"/>
              <w:right w:val="nil"/>
            </w:tcBorders>
            <w:tcMar>
              <w:top w:w="0" w:type="dxa"/>
              <w:left w:w="62" w:type="dxa"/>
              <w:bottom w:w="0" w:type="dxa"/>
              <w:right w:w="62" w:type="dxa"/>
            </w:tcMar>
          </w:tcPr>
          <w:p w:rsidR="00000000" w:rsidP="00F731A8">
            <w:pPr>
              <w:pStyle w:val="BodyText"/>
              <w:rPr>
                <w:lang w:val="en-NZ"/>
              </w:rPr>
            </w:pPr>
            <w:r w:rsidRPr="00F731A8">
              <w:t>Tools and equipment are positioned and checked prior to use to en</w:t>
            </w:r>
            <w:r w:rsidRPr="00F731A8">
              <w:t>sure they are appropriate for the task, serviceable and in a safe condition</w:t>
            </w:r>
          </w:p>
        </w:tc>
      </w:tr>
      <w:tr w:rsidTr="00F731A8">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731A8">
            <w:pPr>
              <w:pStyle w:val="BodyText"/>
              <w:rPr>
                <w:lang w:val="en-NZ"/>
              </w:rPr>
            </w:pPr>
            <w:r w:rsidRPr="00F731A8">
              <w:t>3.2</w:t>
            </w:r>
          </w:p>
        </w:tc>
        <w:tc>
          <w:tcPr>
            <w:tcW w:w="5866" w:type="dxa"/>
            <w:tcBorders>
              <w:top w:val="nil"/>
              <w:left w:val="nil"/>
              <w:bottom w:val="nil"/>
              <w:right w:val="nil"/>
            </w:tcBorders>
            <w:tcMar>
              <w:top w:w="0" w:type="dxa"/>
              <w:left w:w="62" w:type="dxa"/>
              <w:bottom w:w="0" w:type="dxa"/>
              <w:right w:w="62" w:type="dxa"/>
            </w:tcMar>
          </w:tcPr>
          <w:p w:rsidR="00000000" w:rsidP="00F731A8">
            <w:pPr>
              <w:pStyle w:val="BodyText"/>
              <w:rPr>
                <w:lang w:val="en-NZ"/>
              </w:rPr>
            </w:pPr>
            <w:r w:rsidRPr="00F731A8">
              <w:t>Plans and other documents are positioned to allow for confirmation of the panel structure</w:t>
            </w:r>
          </w:p>
        </w:tc>
      </w:tr>
      <w:tr w:rsidTr="00F731A8">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731A8">
            <w:pPr>
              <w:pStyle w:val="BodyText"/>
              <w:rPr>
                <w:lang w:val="en-NZ"/>
              </w:rPr>
            </w:pPr>
            <w:r w:rsidRPr="00F731A8">
              <w:t>3.3</w:t>
            </w:r>
          </w:p>
        </w:tc>
        <w:tc>
          <w:tcPr>
            <w:tcW w:w="5866" w:type="dxa"/>
            <w:tcBorders>
              <w:top w:val="nil"/>
              <w:left w:val="nil"/>
              <w:bottom w:val="nil"/>
              <w:right w:val="nil"/>
            </w:tcBorders>
            <w:tcMar>
              <w:top w:w="0" w:type="dxa"/>
              <w:left w:w="62" w:type="dxa"/>
              <w:bottom w:w="0" w:type="dxa"/>
              <w:right w:w="62" w:type="dxa"/>
            </w:tcMar>
          </w:tcPr>
          <w:p w:rsidR="00000000" w:rsidP="00F731A8">
            <w:pPr>
              <w:pStyle w:val="BodyText"/>
              <w:rPr>
                <w:lang w:val="en-NZ"/>
              </w:rPr>
            </w:pPr>
            <w:r w:rsidRPr="00F731A8">
              <w:t xml:space="preserve">Outline charcoal rubbings are made to confirm design during the process </w:t>
            </w:r>
          </w:p>
        </w:tc>
      </w:tr>
      <w:tr w:rsidTr="00F731A8">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731A8">
            <w:pPr>
              <w:pStyle w:val="BodyText"/>
              <w:rPr>
                <w:lang w:val="en-NZ"/>
              </w:rPr>
            </w:pPr>
            <w:r w:rsidRPr="00F731A8">
              <w:t>3.4</w:t>
            </w:r>
          </w:p>
        </w:tc>
        <w:tc>
          <w:tcPr>
            <w:tcW w:w="5866" w:type="dxa"/>
            <w:tcBorders>
              <w:top w:val="nil"/>
              <w:left w:val="nil"/>
              <w:bottom w:val="nil"/>
              <w:right w:val="nil"/>
            </w:tcBorders>
            <w:tcMar>
              <w:top w:w="0" w:type="dxa"/>
              <w:left w:w="62" w:type="dxa"/>
              <w:bottom w:w="0" w:type="dxa"/>
              <w:right w:w="62" w:type="dxa"/>
            </w:tcMar>
          </w:tcPr>
          <w:p w:rsidR="00000000" w:rsidP="00F731A8">
            <w:pPr>
              <w:pStyle w:val="BodyText"/>
              <w:rPr>
                <w:lang w:val="en-NZ"/>
              </w:rPr>
            </w:pPr>
            <w:r w:rsidRPr="00F731A8">
              <w:t>Photographs are taken of the panel for later reference</w:t>
            </w:r>
          </w:p>
        </w:tc>
      </w:tr>
      <w:tr w:rsidTr="00F731A8">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F731A8">
            <w:pPr>
              <w:pStyle w:val="BodyText"/>
              <w:rPr>
                <w:lang w:val="en-NZ"/>
              </w:rPr>
            </w:pPr>
            <w:r w:rsidRPr="00F731A8">
              <w:t>4</w:t>
            </w:r>
          </w:p>
        </w:tc>
        <w:tc>
          <w:tcPr>
            <w:tcW w:w="2129" w:type="dxa"/>
            <w:tcBorders>
              <w:top w:val="nil"/>
              <w:left w:val="nil"/>
              <w:bottom w:val="nil"/>
              <w:right w:val="nil"/>
            </w:tcBorders>
            <w:tcMar>
              <w:top w:w="0" w:type="dxa"/>
              <w:left w:w="62" w:type="dxa"/>
              <w:bottom w:w="0" w:type="dxa"/>
              <w:right w:w="62" w:type="dxa"/>
            </w:tcMar>
          </w:tcPr>
          <w:p w:rsidR="00000000" w:rsidP="00F731A8">
            <w:pPr>
              <w:pStyle w:val="BodyText"/>
              <w:rPr>
                <w:lang w:val="en-NZ"/>
              </w:rPr>
            </w:pPr>
            <w:r w:rsidRPr="00F731A8">
              <w:t>Conduct the conservation process</w:t>
            </w:r>
          </w:p>
        </w:tc>
        <w:tc>
          <w:tcPr>
            <w:tcW w:w="661" w:type="dxa"/>
            <w:tcBorders>
              <w:top w:val="nil"/>
              <w:left w:val="nil"/>
              <w:bottom w:val="nil"/>
              <w:right w:val="nil"/>
            </w:tcBorders>
            <w:tcMar>
              <w:top w:w="0" w:type="dxa"/>
              <w:left w:w="62" w:type="dxa"/>
              <w:bottom w:w="0" w:type="dxa"/>
              <w:right w:w="62" w:type="dxa"/>
            </w:tcMar>
          </w:tcPr>
          <w:p w:rsidR="00000000" w:rsidP="00F731A8">
            <w:pPr>
              <w:pStyle w:val="BodyText"/>
              <w:rPr>
                <w:lang w:val="en-NZ"/>
              </w:rPr>
            </w:pPr>
            <w:r w:rsidRPr="00F731A8">
              <w:t>4.1</w:t>
            </w:r>
          </w:p>
        </w:tc>
        <w:tc>
          <w:tcPr>
            <w:tcW w:w="5866" w:type="dxa"/>
            <w:tcBorders>
              <w:top w:val="nil"/>
              <w:left w:val="nil"/>
              <w:bottom w:val="nil"/>
              <w:right w:val="nil"/>
            </w:tcBorders>
            <w:tcMar>
              <w:top w:w="0" w:type="dxa"/>
              <w:left w:w="62" w:type="dxa"/>
              <w:bottom w:w="0" w:type="dxa"/>
              <w:right w:w="62" w:type="dxa"/>
            </w:tcMar>
          </w:tcPr>
          <w:p w:rsidR="00000000" w:rsidP="00F731A8">
            <w:pPr>
              <w:pStyle w:val="BodyText"/>
              <w:rPr>
                <w:lang w:val="en-NZ"/>
              </w:rPr>
            </w:pPr>
            <w:r w:rsidRPr="00F731A8">
              <w:t>Components requiring conservation are cleaned or disposed of</w:t>
            </w:r>
          </w:p>
        </w:tc>
      </w:tr>
      <w:tr w:rsidTr="00F731A8">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731A8">
            <w:pPr>
              <w:pStyle w:val="BodyText"/>
              <w:rPr>
                <w:lang w:val="en-NZ"/>
              </w:rPr>
            </w:pPr>
            <w:r w:rsidRPr="00F731A8">
              <w:t>4.2</w:t>
            </w:r>
          </w:p>
        </w:tc>
        <w:tc>
          <w:tcPr>
            <w:tcW w:w="5866" w:type="dxa"/>
            <w:tcBorders>
              <w:top w:val="nil"/>
              <w:left w:val="nil"/>
              <w:bottom w:val="nil"/>
              <w:right w:val="nil"/>
            </w:tcBorders>
            <w:tcMar>
              <w:top w:w="0" w:type="dxa"/>
              <w:left w:w="62" w:type="dxa"/>
              <w:bottom w:w="0" w:type="dxa"/>
              <w:right w:w="62" w:type="dxa"/>
            </w:tcMar>
          </w:tcPr>
          <w:p w:rsidR="00000000" w:rsidP="00F731A8">
            <w:pPr>
              <w:pStyle w:val="BodyText"/>
              <w:rPr>
                <w:lang w:val="en-NZ"/>
              </w:rPr>
            </w:pPr>
            <w:r w:rsidRPr="00F731A8">
              <w:t xml:space="preserve">Decisions on conservation methods are confirmed </w:t>
            </w:r>
          </w:p>
        </w:tc>
      </w:tr>
      <w:tr w:rsidTr="00F731A8">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731A8">
            <w:pPr>
              <w:pStyle w:val="BodyText"/>
              <w:rPr>
                <w:lang w:val="en-NZ"/>
              </w:rPr>
            </w:pPr>
            <w:r w:rsidRPr="00F731A8">
              <w:t>4.3</w:t>
            </w:r>
          </w:p>
        </w:tc>
        <w:tc>
          <w:tcPr>
            <w:tcW w:w="5866" w:type="dxa"/>
            <w:tcBorders>
              <w:top w:val="nil"/>
              <w:left w:val="nil"/>
              <w:bottom w:val="nil"/>
              <w:right w:val="nil"/>
            </w:tcBorders>
            <w:tcMar>
              <w:top w:w="0" w:type="dxa"/>
              <w:left w:w="62" w:type="dxa"/>
              <w:bottom w:w="0" w:type="dxa"/>
              <w:right w:w="62" w:type="dxa"/>
            </w:tcMar>
          </w:tcPr>
          <w:p w:rsidR="00000000" w:rsidP="00F731A8">
            <w:pPr>
              <w:pStyle w:val="BodyText"/>
              <w:rPr>
                <w:lang w:val="en-NZ"/>
              </w:rPr>
            </w:pPr>
            <w:r w:rsidRPr="00F731A8">
              <w:t xml:space="preserve">Replacement materials are selected and prepared </w:t>
            </w:r>
          </w:p>
        </w:tc>
      </w:tr>
      <w:tr w:rsidTr="00F731A8">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731A8">
            <w:pPr>
              <w:pStyle w:val="BodyText"/>
              <w:rPr>
                <w:lang w:val="en-NZ"/>
              </w:rPr>
            </w:pPr>
            <w:r w:rsidRPr="00F731A8">
              <w:t>4.4</w:t>
            </w:r>
          </w:p>
        </w:tc>
        <w:tc>
          <w:tcPr>
            <w:tcW w:w="5866" w:type="dxa"/>
            <w:tcBorders>
              <w:top w:val="nil"/>
              <w:left w:val="nil"/>
              <w:bottom w:val="nil"/>
              <w:right w:val="nil"/>
            </w:tcBorders>
            <w:tcMar>
              <w:top w:w="0" w:type="dxa"/>
              <w:left w:w="62" w:type="dxa"/>
              <w:bottom w:w="0" w:type="dxa"/>
              <w:right w:w="62" w:type="dxa"/>
            </w:tcMar>
          </w:tcPr>
          <w:p w:rsidR="00000000" w:rsidP="00F731A8">
            <w:pPr>
              <w:pStyle w:val="BodyText"/>
              <w:rPr>
                <w:lang w:val="en-NZ"/>
              </w:rPr>
            </w:pPr>
            <w:r w:rsidRPr="00F731A8">
              <w:t>Measurements and tests are conducted to confirm conservation plan</w:t>
            </w:r>
          </w:p>
        </w:tc>
      </w:tr>
      <w:tr w:rsidTr="00F731A8">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731A8">
            <w:pPr>
              <w:pStyle w:val="BodyText"/>
              <w:rPr>
                <w:lang w:val="en-NZ"/>
              </w:rPr>
            </w:pPr>
            <w:r w:rsidRPr="00F731A8">
              <w:t>4.5</w:t>
            </w:r>
          </w:p>
        </w:tc>
        <w:tc>
          <w:tcPr>
            <w:tcW w:w="5866" w:type="dxa"/>
            <w:tcBorders>
              <w:top w:val="nil"/>
              <w:left w:val="nil"/>
              <w:bottom w:val="nil"/>
              <w:right w:val="nil"/>
            </w:tcBorders>
            <w:tcMar>
              <w:top w:w="0" w:type="dxa"/>
              <w:left w:w="62" w:type="dxa"/>
              <w:bottom w:w="0" w:type="dxa"/>
              <w:right w:w="62" w:type="dxa"/>
            </w:tcMar>
          </w:tcPr>
          <w:p w:rsidR="00000000" w:rsidP="00F731A8">
            <w:pPr>
              <w:pStyle w:val="BodyText"/>
              <w:rPr>
                <w:lang w:val="en-NZ"/>
              </w:rPr>
            </w:pPr>
            <w:r w:rsidRPr="00F731A8">
              <w:t xml:space="preserve">Panel is assembled and checked against original data </w:t>
            </w:r>
          </w:p>
        </w:tc>
      </w:tr>
      <w:tr w:rsidTr="00F731A8">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F731A8">
            <w:pPr>
              <w:pStyle w:val="BodyText"/>
              <w:rPr>
                <w:lang w:val="en-NZ"/>
              </w:rPr>
            </w:pPr>
            <w:r w:rsidRPr="00F731A8">
              <w:t>5</w:t>
            </w:r>
          </w:p>
        </w:tc>
        <w:tc>
          <w:tcPr>
            <w:tcW w:w="2129" w:type="dxa"/>
            <w:tcBorders>
              <w:top w:val="nil"/>
              <w:left w:val="nil"/>
              <w:bottom w:val="nil"/>
              <w:right w:val="nil"/>
            </w:tcBorders>
            <w:tcMar>
              <w:top w:w="0" w:type="dxa"/>
              <w:left w:w="62" w:type="dxa"/>
              <w:bottom w:w="0" w:type="dxa"/>
              <w:right w:w="62" w:type="dxa"/>
            </w:tcMar>
          </w:tcPr>
          <w:p w:rsidR="00000000" w:rsidP="00F731A8">
            <w:pPr>
              <w:pStyle w:val="BodyText"/>
              <w:rPr>
                <w:lang w:val="en-NZ"/>
              </w:rPr>
            </w:pPr>
            <w:r w:rsidRPr="00F731A8">
              <w:t>Finalise and report on the conservation process</w:t>
            </w:r>
          </w:p>
        </w:tc>
        <w:tc>
          <w:tcPr>
            <w:tcW w:w="661" w:type="dxa"/>
            <w:tcBorders>
              <w:top w:val="nil"/>
              <w:left w:val="nil"/>
              <w:bottom w:val="nil"/>
              <w:right w:val="nil"/>
            </w:tcBorders>
            <w:tcMar>
              <w:top w:w="0" w:type="dxa"/>
              <w:left w:w="62" w:type="dxa"/>
              <w:bottom w:w="0" w:type="dxa"/>
              <w:right w:w="62" w:type="dxa"/>
            </w:tcMar>
          </w:tcPr>
          <w:p w:rsidR="00000000" w:rsidP="00F731A8">
            <w:pPr>
              <w:pStyle w:val="BodyText"/>
              <w:rPr>
                <w:lang w:val="en-NZ"/>
              </w:rPr>
            </w:pPr>
            <w:r w:rsidRPr="00F731A8">
              <w:t>5.1</w:t>
            </w:r>
          </w:p>
        </w:tc>
        <w:tc>
          <w:tcPr>
            <w:tcW w:w="5866" w:type="dxa"/>
            <w:tcBorders>
              <w:top w:val="nil"/>
              <w:left w:val="nil"/>
              <w:bottom w:val="nil"/>
              <w:right w:val="nil"/>
            </w:tcBorders>
            <w:tcMar>
              <w:top w:w="0" w:type="dxa"/>
              <w:left w:w="62" w:type="dxa"/>
              <w:bottom w:w="0" w:type="dxa"/>
              <w:right w:w="62" w:type="dxa"/>
            </w:tcMar>
          </w:tcPr>
          <w:p w:rsidR="00000000" w:rsidP="00F731A8">
            <w:pPr>
              <w:pStyle w:val="BodyText"/>
              <w:rPr>
                <w:lang w:val="en-NZ"/>
              </w:rPr>
            </w:pPr>
            <w:r w:rsidRPr="00F731A8">
              <w:t>Conserved leadligh</w:t>
            </w:r>
            <w:r w:rsidRPr="00F731A8">
              <w:t>t and stained glass panel is inspected for quality of work and problems rectified</w:t>
            </w:r>
          </w:p>
        </w:tc>
      </w:tr>
      <w:tr w:rsidTr="00F731A8">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731A8">
            <w:pPr>
              <w:pStyle w:val="BodyText"/>
              <w:rPr>
                <w:lang w:val="en-NZ"/>
              </w:rPr>
            </w:pPr>
            <w:r w:rsidRPr="00F731A8">
              <w:t>5.2</w:t>
            </w:r>
          </w:p>
        </w:tc>
        <w:tc>
          <w:tcPr>
            <w:tcW w:w="5866" w:type="dxa"/>
            <w:tcBorders>
              <w:top w:val="nil"/>
              <w:left w:val="nil"/>
              <w:bottom w:val="nil"/>
              <w:right w:val="nil"/>
            </w:tcBorders>
            <w:tcMar>
              <w:top w:w="0" w:type="dxa"/>
              <w:left w:w="62" w:type="dxa"/>
              <w:bottom w:w="0" w:type="dxa"/>
              <w:right w:w="62" w:type="dxa"/>
            </w:tcMar>
          </w:tcPr>
          <w:p w:rsidR="00000000" w:rsidP="00F731A8">
            <w:pPr>
              <w:pStyle w:val="BodyText"/>
              <w:rPr>
                <w:lang w:val="en-NZ"/>
              </w:rPr>
            </w:pPr>
            <w:r w:rsidRPr="00F731A8">
              <w:t xml:space="preserve">Tools and equipment are removed, cleaned and stored appropriately </w:t>
            </w:r>
          </w:p>
        </w:tc>
      </w:tr>
      <w:tr w:rsidTr="00F731A8">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731A8">
            <w:pPr>
              <w:pStyle w:val="BodyText"/>
              <w:rPr>
                <w:lang w:val="en-NZ"/>
              </w:rPr>
            </w:pPr>
            <w:r w:rsidRPr="00F731A8">
              <w:t>5.3</w:t>
            </w:r>
          </w:p>
        </w:tc>
        <w:tc>
          <w:tcPr>
            <w:tcW w:w="5866" w:type="dxa"/>
            <w:tcBorders>
              <w:top w:val="nil"/>
              <w:left w:val="nil"/>
              <w:bottom w:val="nil"/>
              <w:right w:val="nil"/>
            </w:tcBorders>
            <w:tcMar>
              <w:top w:w="0" w:type="dxa"/>
              <w:left w:w="62" w:type="dxa"/>
              <w:bottom w:w="0" w:type="dxa"/>
              <w:right w:w="62" w:type="dxa"/>
            </w:tcMar>
          </w:tcPr>
          <w:p w:rsidR="00000000" w:rsidP="00F731A8">
            <w:pPr>
              <w:pStyle w:val="BodyText"/>
              <w:rPr>
                <w:lang w:val="en-NZ"/>
              </w:rPr>
            </w:pPr>
            <w:r w:rsidRPr="00F731A8">
              <w:t>Conservation area is cleaned and rubbish disposed of, as appropriate</w:t>
            </w:r>
          </w:p>
        </w:tc>
      </w:tr>
      <w:tr w:rsidTr="00F731A8">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731A8">
            <w:pPr>
              <w:pStyle w:val="BodyText"/>
              <w:rPr>
                <w:lang w:val="en-NZ"/>
              </w:rPr>
            </w:pPr>
            <w:r w:rsidRPr="00F731A8">
              <w:t>5.4</w:t>
            </w:r>
          </w:p>
        </w:tc>
        <w:tc>
          <w:tcPr>
            <w:tcW w:w="5866" w:type="dxa"/>
            <w:tcBorders>
              <w:top w:val="nil"/>
              <w:left w:val="nil"/>
              <w:bottom w:val="nil"/>
              <w:right w:val="nil"/>
            </w:tcBorders>
            <w:tcMar>
              <w:top w:w="0" w:type="dxa"/>
              <w:left w:w="62" w:type="dxa"/>
              <w:bottom w:w="0" w:type="dxa"/>
              <w:right w:w="62" w:type="dxa"/>
            </w:tcMar>
          </w:tcPr>
          <w:p w:rsidR="00000000" w:rsidP="00F731A8">
            <w:pPr>
              <w:pStyle w:val="BodyText"/>
              <w:rPr>
                <w:lang w:val="en-NZ"/>
              </w:rPr>
            </w:pPr>
            <w:r w:rsidRPr="00F731A8">
              <w:t>Panel is packaged and stored prior to movement and installation</w:t>
            </w:r>
          </w:p>
        </w:tc>
      </w:tr>
      <w:tr w:rsidTr="00F731A8">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731A8">
            <w:pPr>
              <w:pStyle w:val="BodyText"/>
              <w:rPr>
                <w:lang w:val="en-NZ"/>
              </w:rPr>
            </w:pPr>
            <w:r w:rsidRPr="00F731A8">
              <w:t>5.5</w:t>
            </w:r>
          </w:p>
        </w:tc>
        <w:tc>
          <w:tcPr>
            <w:tcW w:w="5866" w:type="dxa"/>
            <w:tcBorders>
              <w:top w:val="nil"/>
              <w:left w:val="nil"/>
              <w:bottom w:val="nil"/>
              <w:right w:val="nil"/>
            </w:tcBorders>
            <w:tcMar>
              <w:top w:w="0" w:type="dxa"/>
              <w:left w:w="62" w:type="dxa"/>
              <w:bottom w:w="0" w:type="dxa"/>
              <w:right w:w="62" w:type="dxa"/>
            </w:tcMar>
          </w:tcPr>
          <w:p w:rsidR="00000000" w:rsidRPr="00F731A8" w:rsidP="00F731A8">
            <w:pPr>
              <w:pStyle w:val="BodyText"/>
            </w:pPr>
            <w:r w:rsidRPr="00F731A8">
              <w:t xml:space="preserve">Conservation report is prepared and provided, as required </w:t>
            </w:r>
          </w:p>
        </w:tc>
      </w:tr>
    </w:tbl>
    <w:p w:rsidR="00000000" w:rsidRPr="00F731A8" w:rsidP="00F731A8">
      <w:pPr>
        <w:pStyle w:val="BodyText"/>
      </w:pPr>
    </w:p>
    <w:p w:rsidR="00000000" w:rsidRPr="00F731A8" w:rsidP="00F731A8">
      <w:pPr>
        <w:pStyle w:val="AllowPageBreak"/>
      </w:pPr>
    </w:p>
    <w:p w:rsidR="00000000" w:rsidRPr="00F731A8" w:rsidP="00F731A8">
      <w:pPr>
        <w:pStyle w:val="Heading1"/>
      </w:pPr>
      <w:bookmarkStart w:id="7" w:name="O_621597"/>
      <w:bookmarkEnd w:id="7"/>
      <w:r w:rsidRPr="00F731A8">
        <w:t>Foundation Skills</w:t>
      </w:r>
    </w:p>
    <w:p w:rsidR="00000000" w:rsidRPr="00F731A8" w:rsidP="00316B30">
      <w:pPr>
        <w:pStyle w:val="BodyText"/>
      </w:pPr>
      <w:r w:rsidRPr="00F731A8">
        <w:t>Foundation skills essential to performance are explicit in the performance criteria of this unit of competency. Detail on appropriate performance levels for each furnishing unit of competency in reading, writing, oral communication and numeracy utilising t</w:t>
      </w:r>
      <w:r w:rsidRPr="00F731A8">
        <w:t>he Australian Core Skills Framework (ACSF) are provided in the Furnishing Training Package Implementation Guide.</w:t>
      </w:r>
    </w:p>
    <w:p w:rsidR="00000000" w:rsidRPr="00F731A8" w:rsidP="00F731A8">
      <w:pPr>
        <w:pStyle w:val="Heading1"/>
      </w:pPr>
      <w:bookmarkStart w:id="8" w:name="O_621596"/>
      <w:bookmarkEnd w:id="8"/>
      <w:r w:rsidRPr="00F731A8">
        <w:t>Range of Conditions</w:t>
      </w:r>
    </w:p>
    <w:tbl>
      <w:tblPr>
        <w:tblW w:w="0" w:type="auto"/>
        <w:tblLayout w:type="fixed"/>
        <w:tblCellMar>
          <w:left w:w="62" w:type="dxa"/>
          <w:right w:w="62" w:type="dxa"/>
        </w:tblCellMar>
        <w:tblLook w:val="0000"/>
      </w:tblPr>
      <w:tblGrid>
        <w:gridCol w:w="2760"/>
        <w:gridCol w:w="6312"/>
      </w:tblGrid>
      <w:tr w:rsidTr="00F731A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731A8">
            <w:pPr>
              <w:pStyle w:val="BodyText"/>
              <w:rPr>
                <w:lang w:val="en-NZ"/>
              </w:rPr>
            </w:pPr>
            <w:r w:rsidRPr="00F731A8">
              <w:t>Specifies different work environments and conditions that may affect performance. Essential operating cond</w:t>
            </w:r>
            <w:r w:rsidRPr="00F731A8">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F731A8">
              <w:t>to the work environment.</w:t>
            </w:r>
          </w:p>
        </w:tc>
      </w:tr>
      <w:tr w:rsidTr="00F731A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731A8">
            <w:pPr>
              <w:pStyle w:val="BodyText"/>
              <w:rPr>
                <w:lang w:val="en-NZ"/>
              </w:rPr>
            </w:pPr>
            <w:r w:rsidRPr="00F731A8">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F731A8" w:rsidP="00F731A8">
            <w:pPr>
              <w:pStyle w:val="ListBullet"/>
            </w:pPr>
            <w:r w:rsidRPr="00F731A8">
              <w:t xml:space="preserve">WHS requirements, including legislation, building codes, material safety management systems, hazardous and dangerous goods codes, and local safe operating procedures or equivalent </w:t>
            </w:r>
          </w:p>
          <w:p w:rsidR="00000000" w:rsidRPr="00F731A8" w:rsidP="00F731A8">
            <w:pPr>
              <w:pStyle w:val="ListBullet"/>
            </w:pPr>
            <w:r w:rsidRPr="00F731A8">
              <w:t>work is carried out in a</w:t>
            </w:r>
            <w:r w:rsidRPr="00F731A8">
              <w:t>ccordance with legislative obligations, environmental legislation, relevant health regulations, manual handling procedures and organisation insurance requirements</w:t>
            </w:r>
          </w:p>
          <w:p w:rsidR="00000000" w:rsidP="00F731A8">
            <w:pPr>
              <w:pStyle w:val="ListBullet"/>
              <w:rPr>
                <w:lang w:val="en-NZ"/>
              </w:rPr>
            </w:pPr>
            <w:r w:rsidRPr="00F731A8">
              <w:t xml:space="preserve">work requires individuals to demonstrate discretion and apply  judgement and problem solving </w:t>
            </w:r>
            <w:r w:rsidRPr="00F731A8">
              <w:t>to complex issues</w:t>
            </w:r>
          </w:p>
        </w:tc>
      </w:tr>
      <w:tr w:rsidTr="00F731A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731A8">
            <w:pPr>
              <w:pStyle w:val="BodyText"/>
              <w:rPr>
                <w:lang w:val="en-NZ"/>
              </w:rPr>
            </w:pPr>
            <w:r w:rsidRPr="00F731A8">
              <w:rPr>
                <w:rStyle w:val="SpecialBold"/>
              </w:rPr>
              <w:t>Conservation includes:</w:t>
            </w:r>
          </w:p>
        </w:tc>
        <w:tc>
          <w:tcPr>
            <w:tcW w:w="6312" w:type="dxa"/>
            <w:tcBorders>
              <w:top w:val="nil"/>
              <w:left w:val="nil"/>
              <w:bottom w:val="nil"/>
              <w:right w:val="nil"/>
            </w:tcBorders>
            <w:tcMar>
              <w:top w:w="0" w:type="dxa"/>
              <w:left w:w="62" w:type="dxa"/>
              <w:bottom w:w="0" w:type="dxa"/>
              <w:right w:w="62" w:type="dxa"/>
            </w:tcMar>
          </w:tcPr>
          <w:p w:rsidR="00000000" w:rsidRPr="00F731A8" w:rsidP="00F731A8">
            <w:pPr>
              <w:pStyle w:val="ListBullet"/>
            </w:pPr>
            <w:r w:rsidRPr="00F731A8">
              <w:t>advice in the Australia ICOMOS Burra Charter as meaning all of the processes of looking after a place needed to retain cultural significance</w:t>
            </w:r>
          </w:p>
          <w:p w:rsidR="00000000" w:rsidP="00F731A8">
            <w:pPr>
              <w:pStyle w:val="ListBullet"/>
              <w:rPr>
                <w:lang w:val="en-NZ"/>
              </w:rPr>
            </w:pPr>
            <w:r w:rsidRPr="00F731A8">
              <w:t xml:space="preserve">preservation, restoration, reconstruction and adaptation dependent upon specific circumstances (it commonly involves a combination of more than one of these). It also requires that the stained glass conservator respects and understands the requirements of </w:t>
            </w:r>
            <w:r w:rsidRPr="00F731A8">
              <w:t>other specialist crafts and the role of other specialist artisans</w:t>
            </w:r>
          </w:p>
        </w:tc>
      </w:tr>
      <w:tr w:rsidTr="00F731A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731A8">
            <w:pPr>
              <w:pStyle w:val="BodyText"/>
              <w:rPr>
                <w:lang w:val="en-NZ"/>
              </w:rPr>
            </w:pPr>
            <w:r w:rsidRPr="00F731A8">
              <w:rPr>
                <w:rStyle w:val="SpecialBold"/>
              </w:rPr>
              <w:t>Preservation includes:</w:t>
            </w:r>
          </w:p>
        </w:tc>
        <w:tc>
          <w:tcPr>
            <w:tcW w:w="6312" w:type="dxa"/>
            <w:tcBorders>
              <w:top w:val="nil"/>
              <w:left w:val="nil"/>
              <w:bottom w:val="nil"/>
              <w:right w:val="nil"/>
            </w:tcBorders>
            <w:tcMar>
              <w:top w:w="0" w:type="dxa"/>
              <w:left w:w="62" w:type="dxa"/>
              <w:bottom w:w="0" w:type="dxa"/>
              <w:right w:w="62" w:type="dxa"/>
            </w:tcMar>
          </w:tcPr>
          <w:p w:rsidR="00000000" w:rsidP="00F731A8">
            <w:pPr>
              <w:pStyle w:val="ListBullet"/>
              <w:rPr>
                <w:lang w:val="en-NZ"/>
              </w:rPr>
            </w:pPr>
            <w:r w:rsidRPr="00F731A8">
              <w:t>maintaining the leadlight and stained glass panel in its existing state and of retarding deterioration</w:t>
            </w:r>
          </w:p>
        </w:tc>
      </w:tr>
      <w:tr w:rsidTr="00F731A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731A8">
            <w:pPr>
              <w:pStyle w:val="BodyText"/>
              <w:rPr>
                <w:lang w:val="en-NZ"/>
              </w:rPr>
            </w:pPr>
            <w:r w:rsidRPr="00F731A8">
              <w:rPr>
                <w:rStyle w:val="SpecialBold"/>
              </w:rPr>
              <w:t>Restoration includes:</w:t>
            </w:r>
          </w:p>
        </w:tc>
        <w:tc>
          <w:tcPr>
            <w:tcW w:w="6312" w:type="dxa"/>
            <w:tcBorders>
              <w:top w:val="nil"/>
              <w:left w:val="nil"/>
              <w:bottom w:val="nil"/>
              <w:right w:val="nil"/>
            </w:tcBorders>
            <w:tcMar>
              <w:top w:w="0" w:type="dxa"/>
              <w:left w:w="62" w:type="dxa"/>
              <w:bottom w:w="0" w:type="dxa"/>
              <w:right w:w="62" w:type="dxa"/>
            </w:tcMar>
          </w:tcPr>
          <w:p w:rsidR="00000000" w:rsidP="00F731A8">
            <w:pPr>
              <w:pStyle w:val="ListBullet"/>
              <w:rPr>
                <w:lang w:val="en-NZ"/>
              </w:rPr>
            </w:pPr>
            <w:r w:rsidRPr="00F731A8">
              <w:t>returning the leadlight and stained gl</w:t>
            </w:r>
            <w:r w:rsidRPr="00F731A8">
              <w:t>ass panel to a known earlier state by removing accretions or by re-assembling existing components without the introduction of new material</w:t>
            </w:r>
          </w:p>
        </w:tc>
      </w:tr>
      <w:tr w:rsidTr="00F731A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731A8">
            <w:pPr>
              <w:pStyle w:val="BodyText"/>
              <w:rPr>
                <w:lang w:val="en-NZ"/>
              </w:rPr>
            </w:pPr>
            <w:r w:rsidRPr="00F731A8">
              <w:rPr>
                <w:rStyle w:val="SpecialBold"/>
              </w:rPr>
              <w:t>Reconstruction includes:</w:t>
            </w:r>
          </w:p>
        </w:tc>
        <w:tc>
          <w:tcPr>
            <w:tcW w:w="6312" w:type="dxa"/>
            <w:tcBorders>
              <w:top w:val="nil"/>
              <w:left w:val="nil"/>
              <w:bottom w:val="nil"/>
              <w:right w:val="nil"/>
            </w:tcBorders>
            <w:tcMar>
              <w:top w:w="0" w:type="dxa"/>
              <w:left w:w="62" w:type="dxa"/>
              <w:bottom w:w="0" w:type="dxa"/>
              <w:right w:w="62" w:type="dxa"/>
            </w:tcMar>
          </w:tcPr>
          <w:p w:rsidR="00000000" w:rsidP="00F731A8">
            <w:pPr>
              <w:pStyle w:val="ListBullet"/>
              <w:rPr>
                <w:lang w:val="en-NZ"/>
              </w:rPr>
            </w:pPr>
            <w:r w:rsidRPr="00F731A8">
              <w:t>returning the leadlight and stained glass panel to a known earlier state and is distinguis</w:t>
            </w:r>
            <w:r w:rsidRPr="00F731A8">
              <w:t>hed by the introduction of new materials</w:t>
            </w:r>
          </w:p>
        </w:tc>
      </w:tr>
      <w:tr w:rsidTr="00F731A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731A8">
            <w:pPr>
              <w:pStyle w:val="BodyText"/>
              <w:rPr>
                <w:lang w:val="en-NZ"/>
              </w:rPr>
            </w:pPr>
            <w:r w:rsidRPr="00F731A8">
              <w:rPr>
                <w:rStyle w:val="SpecialBold"/>
              </w:rPr>
              <w:t>Appropriate personnel include:</w:t>
            </w:r>
          </w:p>
        </w:tc>
        <w:tc>
          <w:tcPr>
            <w:tcW w:w="6312" w:type="dxa"/>
            <w:tcBorders>
              <w:top w:val="nil"/>
              <w:left w:val="nil"/>
              <w:bottom w:val="nil"/>
              <w:right w:val="nil"/>
            </w:tcBorders>
            <w:tcMar>
              <w:top w:w="0" w:type="dxa"/>
              <w:left w:w="62" w:type="dxa"/>
              <w:bottom w:w="0" w:type="dxa"/>
              <w:right w:w="62" w:type="dxa"/>
            </w:tcMar>
          </w:tcPr>
          <w:p w:rsidR="00000000" w:rsidRPr="00F731A8" w:rsidP="00F731A8">
            <w:pPr>
              <w:pStyle w:val="ListBullet"/>
            </w:pPr>
            <w:r w:rsidRPr="00F731A8">
              <w:t>clients</w:t>
            </w:r>
          </w:p>
          <w:p w:rsidR="00000000" w:rsidRPr="00F731A8" w:rsidP="00F731A8">
            <w:pPr>
              <w:pStyle w:val="ListBullet"/>
            </w:pPr>
            <w:r w:rsidRPr="00F731A8">
              <w:t xml:space="preserve">architects </w:t>
            </w:r>
          </w:p>
          <w:p w:rsidR="00000000" w:rsidRPr="00F731A8" w:rsidP="00F731A8">
            <w:pPr>
              <w:pStyle w:val="ListBullet"/>
            </w:pPr>
            <w:r w:rsidRPr="00F731A8">
              <w:t xml:space="preserve">engineers </w:t>
            </w:r>
          </w:p>
          <w:p w:rsidR="00000000" w:rsidRPr="00F731A8" w:rsidP="00F731A8">
            <w:pPr>
              <w:pStyle w:val="ListBullet"/>
            </w:pPr>
            <w:r w:rsidRPr="00F731A8">
              <w:t xml:space="preserve">construction supervisors </w:t>
            </w:r>
          </w:p>
          <w:p w:rsidR="00000000" w:rsidRPr="00F731A8" w:rsidP="00F731A8">
            <w:pPr>
              <w:pStyle w:val="ListBullet"/>
            </w:pPr>
            <w:r w:rsidRPr="00F731A8">
              <w:t xml:space="preserve">members of heritage committees </w:t>
            </w:r>
          </w:p>
          <w:p w:rsidR="00000000" w:rsidRPr="00F731A8" w:rsidP="00F731A8">
            <w:pPr>
              <w:pStyle w:val="ListBullet"/>
            </w:pPr>
            <w:r w:rsidRPr="00F731A8">
              <w:t xml:space="preserve">government agencies </w:t>
            </w:r>
          </w:p>
          <w:p w:rsidR="00000000" w:rsidP="00F731A8">
            <w:pPr>
              <w:pStyle w:val="ListBullet"/>
              <w:rPr>
                <w:lang w:val="en-NZ"/>
              </w:rPr>
            </w:pPr>
            <w:r w:rsidRPr="00F731A8">
              <w:t xml:space="preserve">other specialist artisans, such as stonemasons </w:t>
            </w:r>
          </w:p>
        </w:tc>
      </w:tr>
      <w:tr w:rsidTr="00F731A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731A8">
            <w:pPr>
              <w:pStyle w:val="BodyText"/>
              <w:rPr>
                <w:lang w:val="en-NZ"/>
              </w:rPr>
            </w:pPr>
            <w:r w:rsidRPr="00F731A8">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F731A8" w:rsidP="00F731A8">
            <w:pPr>
              <w:pStyle w:val="ListBullet"/>
            </w:pPr>
            <w:r w:rsidRPr="00F731A8">
              <w:t xml:space="preserve">work benches </w:t>
            </w:r>
          </w:p>
          <w:p w:rsidR="00000000" w:rsidRPr="00F731A8" w:rsidP="00F731A8">
            <w:pPr>
              <w:pStyle w:val="ListBullet"/>
            </w:pPr>
            <w:r w:rsidRPr="00F731A8">
              <w:t xml:space="preserve">light tables </w:t>
            </w:r>
          </w:p>
          <w:p w:rsidR="00000000" w:rsidRPr="00F731A8" w:rsidP="00F731A8">
            <w:pPr>
              <w:pStyle w:val="ListBullet"/>
            </w:pPr>
            <w:r w:rsidRPr="00F731A8">
              <w:t xml:space="preserve">glass grinders </w:t>
            </w:r>
          </w:p>
          <w:p w:rsidR="00000000" w:rsidRPr="00F731A8" w:rsidP="00F731A8">
            <w:pPr>
              <w:pStyle w:val="ListBullet"/>
            </w:pPr>
            <w:r w:rsidRPr="00F731A8">
              <w:t xml:space="preserve">lead knifes </w:t>
            </w:r>
          </w:p>
          <w:p w:rsidR="00000000" w:rsidRPr="00F731A8" w:rsidP="00F731A8">
            <w:pPr>
              <w:pStyle w:val="ListBullet"/>
            </w:pPr>
            <w:r w:rsidRPr="00F731A8">
              <w:t xml:space="preserve">lead vice </w:t>
            </w:r>
          </w:p>
          <w:p w:rsidR="00000000" w:rsidRPr="00F731A8" w:rsidP="00F731A8">
            <w:pPr>
              <w:pStyle w:val="ListBullet"/>
            </w:pPr>
            <w:r w:rsidRPr="00F731A8">
              <w:t xml:space="preserve">lathekins </w:t>
            </w:r>
          </w:p>
          <w:p w:rsidR="00000000" w:rsidRPr="00F731A8" w:rsidP="00F731A8">
            <w:pPr>
              <w:pStyle w:val="ListBullet"/>
            </w:pPr>
            <w:r w:rsidRPr="00F731A8">
              <w:t xml:space="preserve">farriers nails </w:t>
            </w:r>
          </w:p>
          <w:p w:rsidR="00000000" w:rsidRPr="00F731A8" w:rsidP="00F731A8">
            <w:pPr>
              <w:pStyle w:val="ListBullet"/>
            </w:pPr>
            <w:r w:rsidRPr="00F731A8">
              <w:t xml:space="preserve">glass cutters </w:t>
            </w:r>
          </w:p>
          <w:p w:rsidR="00000000" w:rsidRPr="00F731A8" w:rsidP="00F731A8">
            <w:pPr>
              <w:pStyle w:val="ListBullet"/>
            </w:pPr>
            <w:r w:rsidRPr="00F731A8">
              <w:t xml:space="preserve">grozing and small running pliers </w:t>
            </w:r>
          </w:p>
          <w:p w:rsidR="00000000" w:rsidRPr="00F731A8" w:rsidP="00F731A8">
            <w:pPr>
              <w:pStyle w:val="ListBullet"/>
            </w:pPr>
            <w:r w:rsidRPr="00F731A8">
              <w:t xml:space="preserve">soldering irons and bits </w:t>
            </w:r>
          </w:p>
          <w:p w:rsidR="00000000" w:rsidRPr="00F731A8" w:rsidP="00F731A8">
            <w:pPr>
              <w:pStyle w:val="ListBullet"/>
            </w:pPr>
            <w:r w:rsidRPr="00F731A8">
              <w:t xml:space="preserve">suede </w:t>
            </w:r>
          </w:p>
          <w:p w:rsidR="00000000" w:rsidRPr="00F731A8" w:rsidP="00F731A8">
            <w:pPr>
              <w:pStyle w:val="ListBullet"/>
            </w:pPr>
            <w:r w:rsidRPr="00F731A8">
              <w:t xml:space="preserve">cleaning and polishing brushers and pickers </w:t>
            </w:r>
          </w:p>
          <w:p w:rsidR="00000000" w:rsidP="00F731A8">
            <w:pPr>
              <w:pStyle w:val="ListBullet"/>
              <w:rPr>
                <w:lang w:val="en-NZ"/>
              </w:rPr>
            </w:pPr>
            <w:r w:rsidRPr="00F731A8">
              <w:t>general hand tools</w:t>
            </w:r>
          </w:p>
        </w:tc>
      </w:tr>
      <w:tr w:rsidTr="00F731A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731A8">
            <w:pPr>
              <w:pStyle w:val="BodyText"/>
              <w:rPr>
                <w:lang w:val="en-NZ"/>
              </w:rPr>
            </w:pPr>
            <w:r w:rsidRPr="00F731A8">
              <w:rPr>
                <w:rStyle w:val="SpecialBold"/>
              </w:rPr>
              <w:t>Plans and other documents include:</w:t>
            </w:r>
          </w:p>
        </w:tc>
        <w:tc>
          <w:tcPr>
            <w:tcW w:w="6312" w:type="dxa"/>
            <w:tcBorders>
              <w:top w:val="nil"/>
              <w:left w:val="nil"/>
              <w:bottom w:val="nil"/>
              <w:right w:val="nil"/>
            </w:tcBorders>
            <w:tcMar>
              <w:top w:w="0" w:type="dxa"/>
              <w:left w:w="62" w:type="dxa"/>
              <w:bottom w:w="0" w:type="dxa"/>
              <w:right w:w="62" w:type="dxa"/>
            </w:tcMar>
          </w:tcPr>
          <w:p w:rsidR="00000000" w:rsidRPr="00F731A8" w:rsidP="00F731A8">
            <w:pPr>
              <w:pStyle w:val="ListBullet"/>
            </w:pPr>
            <w:r w:rsidRPr="00F731A8">
              <w:t>original architectural plans</w:t>
            </w:r>
          </w:p>
          <w:p w:rsidR="00000000" w:rsidRPr="00F731A8" w:rsidP="00F731A8">
            <w:pPr>
              <w:pStyle w:val="ListBullet"/>
            </w:pPr>
            <w:r w:rsidRPr="00F731A8">
              <w:t xml:space="preserve">original drawings, cartoons and cut lines for glass panels </w:t>
            </w:r>
          </w:p>
          <w:p w:rsidR="00000000" w:rsidRPr="00F731A8" w:rsidP="00F731A8">
            <w:pPr>
              <w:pStyle w:val="ListBullet"/>
            </w:pPr>
            <w:r w:rsidRPr="00F731A8">
              <w:t xml:space="preserve">historical documents and photographs </w:t>
            </w:r>
          </w:p>
          <w:p w:rsidR="00000000" w:rsidRPr="00F731A8" w:rsidP="00F731A8">
            <w:pPr>
              <w:pStyle w:val="ListBullet"/>
            </w:pPr>
            <w:r w:rsidRPr="00F731A8">
              <w:t xml:space="preserve">charcoal rubbings </w:t>
            </w:r>
          </w:p>
          <w:p w:rsidR="00000000" w:rsidP="00F731A8">
            <w:pPr>
              <w:pStyle w:val="ListBullet"/>
              <w:rPr>
                <w:lang w:val="en-NZ"/>
              </w:rPr>
            </w:pPr>
            <w:r w:rsidRPr="00F731A8">
              <w:t>sketches</w:t>
            </w:r>
          </w:p>
        </w:tc>
      </w:tr>
      <w:tr w:rsidTr="00F731A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731A8">
            <w:pPr>
              <w:pStyle w:val="BodyText"/>
              <w:rPr>
                <w:lang w:val="en-NZ"/>
              </w:rPr>
            </w:pPr>
            <w:r w:rsidRPr="00F731A8">
              <w:rPr>
                <w:rStyle w:val="SpecialBold"/>
              </w:rPr>
              <w:t>Replacement materials include:</w:t>
            </w:r>
          </w:p>
        </w:tc>
        <w:tc>
          <w:tcPr>
            <w:tcW w:w="6312" w:type="dxa"/>
            <w:tcBorders>
              <w:top w:val="nil"/>
              <w:left w:val="nil"/>
              <w:bottom w:val="nil"/>
              <w:right w:val="nil"/>
            </w:tcBorders>
            <w:tcMar>
              <w:top w:w="0" w:type="dxa"/>
              <w:left w:w="62" w:type="dxa"/>
              <w:bottom w:w="0" w:type="dxa"/>
              <w:right w:w="62" w:type="dxa"/>
            </w:tcMar>
          </w:tcPr>
          <w:p w:rsidR="00000000" w:rsidRPr="00F731A8" w:rsidP="00F731A8">
            <w:pPr>
              <w:pStyle w:val="ListBullet"/>
            </w:pPr>
            <w:r w:rsidRPr="00F731A8">
              <w:t xml:space="preserve">glass </w:t>
            </w:r>
          </w:p>
          <w:p w:rsidR="00000000" w:rsidRPr="00F731A8" w:rsidP="00F731A8">
            <w:pPr>
              <w:pStyle w:val="ListBullet"/>
            </w:pPr>
            <w:r w:rsidRPr="00F731A8">
              <w:t xml:space="preserve">cames </w:t>
            </w:r>
          </w:p>
          <w:p w:rsidR="00000000" w:rsidRPr="00F731A8" w:rsidP="00F731A8">
            <w:pPr>
              <w:pStyle w:val="ListBullet"/>
            </w:pPr>
            <w:r w:rsidRPr="00F731A8">
              <w:t xml:space="preserve">solder </w:t>
            </w:r>
          </w:p>
          <w:p w:rsidR="00000000" w:rsidP="00F731A8">
            <w:pPr>
              <w:pStyle w:val="ListBullet"/>
              <w:rPr>
                <w:lang w:val="en-NZ"/>
              </w:rPr>
            </w:pPr>
            <w:r w:rsidRPr="00F731A8">
              <w:t xml:space="preserve">putty </w:t>
            </w:r>
          </w:p>
        </w:tc>
      </w:tr>
      <w:tr w:rsidTr="00F731A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731A8">
            <w:pPr>
              <w:pStyle w:val="BodyText"/>
              <w:rPr>
                <w:lang w:val="en-NZ"/>
              </w:rPr>
            </w:pPr>
            <w:r w:rsidRPr="00F731A8">
              <w:rPr>
                <w:rStyle w:val="SpecialBold"/>
              </w:rPr>
              <w:t>Preparation includes:</w:t>
            </w:r>
          </w:p>
        </w:tc>
        <w:tc>
          <w:tcPr>
            <w:tcW w:w="6312" w:type="dxa"/>
            <w:tcBorders>
              <w:top w:val="nil"/>
              <w:left w:val="nil"/>
              <w:bottom w:val="nil"/>
              <w:right w:val="nil"/>
            </w:tcBorders>
            <w:tcMar>
              <w:top w:w="0" w:type="dxa"/>
              <w:left w:w="62" w:type="dxa"/>
              <w:bottom w:w="0" w:type="dxa"/>
              <w:right w:w="62" w:type="dxa"/>
            </w:tcMar>
          </w:tcPr>
          <w:p w:rsidR="00000000" w:rsidRPr="00F731A8" w:rsidP="00F731A8">
            <w:pPr>
              <w:pStyle w:val="ListBullet"/>
            </w:pPr>
            <w:r w:rsidRPr="00F731A8">
              <w:t xml:space="preserve">painting </w:t>
            </w:r>
          </w:p>
          <w:p w:rsidR="00000000" w:rsidRPr="00F731A8" w:rsidP="00F731A8">
            <w:pPr>
              <w:pStyle w:val="ListBullet"/>
            </w:pPr>
            <w:r w:rsidRPr="00F731A8">
              <w:t xml:space="preserve">cutting </w:t>
            </w:r>
          </w:p>
          <w:p w:rsidR="00000000" w:rsidRPr="00F731A8" w:rsidP="00F731A8">
            <w:pPr>
              <w:pStyle w:val="ListBullet"/>
            </w:pPr>
            <w:r w:rsidRPr="00F731A8">
              <w:t xml:space="preserve">rolling </w:t>
            </w:r>
          </w:p>
          <w:p w:rsidR="00000000" w:rsidP="00F731A8">
            <w:pPr>
              <w:pStyle w:val="ListBullet"/>
              <w:rPr>
                <w:lang w:val="en-NZ"/>
              </w:rPr>
            </w:pPr>
            <w:r w:rsidRPr="00F731A8">
              <w:t>soldering</w:t>
            </w:r>
          </w:p>
        </w:tc>
      </w:tr>
      <w:tr w:rsidTr="00F731A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731A8">
            <w:pPr>
              <w:pStyle w:val="BodyText"/>
              <w:rPr>
                <w:lang w:val="en-NZ"/>
              </w:rPr>
            </w:pPr>
            <w:r w:rsidRPr="00F731A8">
              <w:rPr>
                <w:rStyle w:val="SpecialBold"/>
              </w:rPr>
              <w:t>Measurements include:</w:t>
            </w:r>
          </w:p>
        </w:tc>
        <w:tc>
          <w:tcPr>
            <w:tcW w:w="6312" w:type="dxa"/>
            <w:tcBorders>
              <w:top w:val="nil"/>
              <w:left w:val="nil"/>
              <w:bottom w:val="nil"/>
              <w:right w:val="nil"/>
            </w:tcBorders>
            <w:tcMar>
              <w:top w:w="0" w:type="dxa"/>
              <w:left w:w="62" w:type="dxa"/>
              <w:bottom w:w="0" w:type="dxa"/>
              <w:right w:w="62" w:type="dxa"/>
            </w:tcMar>
          </w:tcPr>
          <w:p w:rsidR="00000000" w:rsidP="00F731A8">
            <w:pPr>
              <w:pStyle w:val="ListBullet"/>
              <w:rPr>
                <w:lang w:val="en-NZ"/>
              </w:rPr>
            </w:pPr>
            <w:r w:rsidRPr="00F731A8">
              <w:t>comparisons with the original plans or other available data</w:t>
            </w:r>
          </w:p>
        </w:tc>
      </w:tr>
      <w:tr w:rsidTr="00F731A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731A8">
            <w:pPr>
              <w:pStyle w:val="BodyText"/>
              <w:rPr>
                <w:lang w:val="en-NZ"/>
              </w:rPr>
            </w:pPr>
            <w:r w:rsidRPr="00F731A8">
              <w:rPr>
                <w:rStyle w:val="SpecialBold"/>
              </w:rPr>
              <w:t>Tests include:</w:t>
            </w:r>
          </w:p>
        </w:tc>
        <w:tc>
          <w:tcPr>
            <w:tcW w:w="6312" w:type="dxa"/>
            <w:tcBorders>
              <w:top w:val="nil"/>
              <w:left w:val="nil"/>
              <w:bottom w:val="nil"/>
              <w:right w:val="nil"/>
            </w:tcBorders>
            <w:tcMar>
              <w:top w:w="0" w:type="dxa"/>
              <w:left w:w="62" w:type="dxa"/>
              <w:bottom w:w="0" w:type="dxa"/>
              <w:right w:w="62" w:type="dxa"/>
            </w:tcMar>
          </w:tcPr>
          <w:p w:rsidR="00000000" w:rsidP="00F731A8">
            <w:pPr>
              <w:pStyle w:val="ListBullet"/>
              <w:rPr>
                <w:lang w:val="en-NZ"/>
              </w:rPr>
            </w:pPr>
            <w:r w:rsidRPr="00F731A8">
              <w:t xml:space="preserve">structural soundness testing and colour matching </w:t>
            </w:r>
          </w:p>
        </w:tc>
      </w:tr>
      <w:tr w:rsidTr="00F731A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731A8">
            <w:pPr>
              <w:pStyle w:val="BodyText"/>
              <w:rPr>
                <w:lang w:val="en-NZ"/>
              </w:rPr>
            </w:pPr>
            <w:r w:rsidRPr="00F731A8">
              <w:rPr>
                <w:rStyle w:val="SpecialBold"/>
              </w:rPr>
              <w:t>Assembly includes:</w:t>
            </w:r>
          </w:p>
        </w:tc>
        <w:tc>
          <w:tcPr>
            <w:tcW w:w="6312" w:type="dxa"/>
            <w:tcBorders>
              <w:top w:val="nil"/>
              <w:left w:val="nil"/>
              <w:bottom w:val="nil"/>
              <w:right w:val="nil"/>
            </w:tcBorders>
            <w:tcMar>
              <w:top w:w="0" w:type="dxa"/>
              <w:left w:w="62" w:type="dxa"/>
              <w:bottom w:w="0" w:type="dxa"/>
              <w:right w:w="62" w:type="dxa"/>
            </w:tcMar>
          </w:tcPr>
          <w:p w:rsidR="00000000" w:rsidP="00F731A8">
            <w:pPr>
              <w:pStyle w:val="ListBullet"/>
              <w:rPr>
                <w:lang w:val="en-NZ"/>
              </w:rPr>
            </w:pPr>
            <w:r w:rsidRPr="00F731A8">
              <w:t>the requirement to assemble sections in order to facilitate later installation</w:t>
            </w:r>
          </w:p>
        </w:tc>
      </w:tr>
      <w:tr w:rsidTr="00F731A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731A8">
            <w:pPr>
              <w:pStyle w:val="BodyText"/>
              <w:rPr>
                <w:lang w:val="en-NZ"/>
              </w:rPr>
            </w:pPr>
            <w:r w:rsidRPr="00F731A8">
              <w:rPr>
                <w:rStyle w:val="SpecialBold"/>
              </w:rPr>
              <w:t>Conservation report includes:</w:t>
            </w:r>
          </w:p>
        </w:tc>
        <w:tc>
          <w:tcPr>
            <w:tcW w:w="6312" w:type="dxa"/>
            <w:tcBorders>
              <w:top w:val="nil"/>
              <w:left w:val="nil"/>
              <w:bottom w:val="nil"/>
              <w:right w:val="nil"/>
            </w:tcBorders>
            <w:tcMar>
              <w:top w:w="0" w:type="dxa"/>
              <w:left w:w="62" w:type="dxa"/>
              <w:bottom w:w="0" w:type="dxa"/>
              <w:right w:w="62" w:type="dxa"/>
            </w:tcMar>
          </w:tcPr>
          <w:p w:rsidR="00000000" w:rsidRPr="00F731A8" w:rsidP="00F731A8">
            <w:pPr>
              <w:pStyle w:val="ListBullet"/>
            </w:pPr>
            <w:r w:rsidRPr="00F731A8">
              <w:t>detailing the extent of the conservation methods applied</w:t>
            </w:r>
          </w:p>
          <w:p w:rsidR="00000000" w:rsidRPr="00F731A8" w:rsidP="00F731A8">
            <w:pPr>
              <w:pStyle w:val="ListBullet"/>
            </w:pPr>
            <w:r w:rsidRPr="00F731A8">
              <w:t xml:space="preserve">problems encountered </w:t>
            </w:r>
          </w:p>
          <w:p w:rsidR="00000000" w:rsidRPr="00F731A8" w:rsidP="00F731A8">
            <w:pPr>
              <w:pStyle w:val="ListBullet"/>
            </w:pPr>
            <w:r w:rsidRPr="00F731A8">
              <w:t>methods of dealing with them</w:t>
            </w:r>
          </w:p>
          <w:p w:rsidR="00000000" w:rsidRPr="00F731A8" w:rsidP="00F731A8">
            <w:pPr>
              <w:pStyle w:val="ListBullet"/>
            </w:pPr>
            <w:r w:rsidRPr="00F731A8">
              <w:t>photographic records of process and a</w:t>
            </w:r>
            <w:r w:rsidRPr="00F731A8">
              <w:t>ssembly</w:t>
            </w:r>
          </w:p>
          <w:p w:rsidR="00000000" w:rsidP="00F731A8">
            <w:pPr>
              <w:pStyle w:val="ListBullet"/>
              <w:rPr>
                <w:lang w:val="en-NZ"/>
              </w:rPr>
            </w:pPr>
            <w:r w:rsidRPr="00F731A8">
              <w:t xml:space="preserve">details required by government bodies </w:t>
            </w:r>
          </w:p>
        </w:tc>
      </w:tr>
      <w:tr w:rsidTr="00F731A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F731A8" w:rsidP="00F731A8">
            <w:pPr>
              <w:pStyle w:val="BodyText"/>
            </w:pPr>
            <w:r w:rsidRPr="00F731A8">
              <w:rPr>
                <w:rStyle w:val="SpecialBold"/>
              </w:rPr>
              <w:t>Personal protective equipment includes:</w:t>
            </w:r>
          </w:p>
          <w:p w:rsidR="00000000" w:rsidP="00F731A8">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F731A8" w:rsidP="00F731A8">
            <w:pPr>
              <w:pStyle w:val="ListBullet"/>
            </w:pPr>
            <w:r w:rsidRPr="00F731A8">
              <w:t>that prescribed under legislation, regulation and enterprise policies and practices:</w:t>
            </w:r>
          </w:p>
          <w:p w:rsidR="00000000" w:rsidRPr="00F731A8" w:rsidP="00F731A8">
            <w:pPr>
              <w:pStyle w:val="ListBullet2"/>
            </w:pPr>
            <w:r w:rsidRPr="00F731A8">
              <w:t>gauntlets</w:t>
            </w:r>
          </w:p>
          <w:p w:rsidR="00000000" w:rsidRPr="00F731A8" w:rsidP="00F731A8">
            <w:pPr>
              <w:pStyle w:val="ListBullet2"/>
            </w:pPr>
            <w:r w:rsidRPr="00F731A8">
              <w:t>gloves</w:t>
            </w:r>
          </w:p>
          <w:p w:rsidR="00000000" w:rsidRPr="00F731A8" w:rsidP="00F731A8">
            <w:pPr>
              <w:pStyle w:val="ListBullet2"/>
            </w:pPr>
            <w:r w:rsidRPr="00F731A8">
              <w:t>safety glasses</w:t>
            </w:r>
          </w:p>
          <w:p w:rsidR="00000000" w:rsidRPr="00F731A8" w:rsidP="00F731A8">
            <w:pPr>
              <w:pStyle w:val="ListBullet2"/>
            </w:pPr>
            <w:r w:rsidRPr="00F731A8">
              <w:t>hard hats</w:t>
            </w:r>
          </w:p>
          <w:p w:rsidR="00000000" w:rsidRPr="00F731A8" w:rsidP="00F731A8">
            <w:pPr>
              <w:pStyle w:val="ListBullet2"/>
            </w:pPr>
            <w:r w:rsidRPr="00F731A8">
              <w:t>safety footwear</w:t>
            </w:r>
          </w:p>
          <w:p w:rsidR="00000000" w:rsidP="00F731A8">
            <w:pPr>
              <w:pStyle w:val="ListBullet2"/>
              <w:rPr>
                <w:lang w:val="en-NZ"/>
              </w:rPr>
            </w:pPr>
            <w:r w:rsidRPr="00F731A8">
              <w:t>aprons and overalls</w:t>
            </w:r>
          </w:p>
        </w:tc>
      </w:tr>
      <w:tr w:rsidTr="00F731A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731A8">
            <w:pPr>
              <w:pStyle w:val="BodyText"/>
              <w:rPr>
                <w:lang w:val="en-NZ"/>
              </w:rPr>
            </w:pPr>
            <w:r w:rsidRPr="00F731A8">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F731A8" w:rsidP="00F731A8">
            <w:pPr>
              <w:pStyle w:val="ListBullet"/>
            </w:pPr>
            <w:r w:rsidRPr="00F731A8">
              <w:t xml:space="preserve">workplace procedures relating to the use of tools and equipment and personal protective equipment </w:t>
            </w:r>
          </w:p>
          <w:p w:rsidR="00000000" w:rsidRPr="00F731A8" w:rsidP="00F731A8">
            <w:pPr>
              <w:pStyle w:val="ListBullet"/>
            </w:pPr>
            <w:r w:rsidRPr="00F731A8">
              <w:t xml:space="preserve">work instructions, including job sheets, cutting lists, plans, drawings and designs </w:t>
            </w:r>
          </w:p>
          <w:p w:rsidR="00000000" w:rsidRPr="00F731A8" w:rsidP="00F731A8">
            <w:pPr>
              <w:pStyle w:val="ListBullet"/>
            </w:pPr>
            <w:r w:rsidRPr="00F731A8">
              <w:t xml:space="preserve">workplace procedures relating to reporting and communication </w:t>
            </w:r>
          </w:p>
          <w:p w:rsidR="00000000" w:rsidRPr="00F731A8" w:rsidP="00F731A8">
            <w:pPr>
              <w:pStyle w:val="ListBullet"/>
            </w:pPr>
            <w:r w:rsidRPr="00F731A8">
              <w:t>manufacturer specifications and operational procedures</w:t>
            </w:r>
          </w:p>
        </w:tc>
      </w:tr>
    </w:tbl>
    <w:p w:rsidR="00000000" w:rsidRPr="00F731A8" w:rsidP="00F731A8">
      <w:pPr>
        <w:pStyle w:val="BodyText"/>
      </w:pPr>
    </w:p>
    <w:p w:rsidR="00000000" w:rsidRPr="00F731A8" w:rsidP="00F731A8">
      <w:pPr>
        <w:pStyle w:val="AllowPageBreak"/>
      </w:pPr>
    </w:p>
    <w:p w:rsidR="00000000" w:rsidRPr="00F731A8" w:rsidP="00F731A8">
      <w:pPr>
        <w:pStyle w:val="Heading1"/>
      </w:pPr>
      <w:bookmarkStart w:id="9" w:name="O_621595"/>
      <w:bookmarkEnd w:id="9"/>
      <w:r w:rsidRPr="00F731A8">
        <w:t>Unit Mapping Information</w:t>
      </w:r>
    </w:p>
    <w:p w:rsidR="00000000" w:rsidRPr="00F731A8" w:rsidP="00316B30">
      <w:pPr>
        <w:pStyle w:val="BodyText"/>
      </w:pPr>
      <w:r w:rsidRPr="00F731A8">
        <w:t>Supersedes and is equivalent to LMFSL5003B Conserve heritage leadlight and stained glass.</w:t>
      </w:r>
    </w:p>
    <w:p w:rsidR="00000000" w:rsidRPr="00F731A8" w:rsidP="00F731A8">
      <w:pPr>
        <w:pStyle w:val="Heading1"/>
      </w:pPr>
      <w:bookmarkStart w:id="10" w:name="O_621588"/>
      <w:bookmarkEnd w:id="10"/>
      <w:r w:rsidRPr="00F731A8">
        <w:t>Links</w:t>
      </w:r>
    </w:p>
    <w:p w:rsidR="00000000" w:rsidRPr="00F731A8" w:rsidP="00316B30">
      <w:pPr>
        <w:pStyle w:val="BodyText"/>
      </w:pPr>
      <w:r w:rsidRPr="00F731A8">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90778E">
        <w:rPr>
          <w:rStyle w:val="Hyperlink"/>
        </w:rPr>
        <w:t>https://vetnet.gov.au/Pages/TrainingDocs.aspx?q=0601ab95-583a-4e93-b2d4-cfb27b03ed73</w:t>
      </w:r>
      <w:r>
        <w:fldChar w:fldCharType="end"/>
      </w:r>
    </w:p>
    <w:p w:rsidR="00000000" w:rsidRPr="00F731A8" w:rsidP="00316B30">
      <w:pPr>
        <w:pStyle w:val="BodyText"/>
        <w:sectPr w:rsidSect="00F731A8">
          <w:headerReference w:type="default" r:id="rId10"/>
          <w:footerReference w:type="default" r:id="rId11"/>
          <w:pgSz w:w="11908" w:h="16833"/>
          <w:pgMar w:top="1702" w:right="1418" w:bottom="1702" w:left="1418" w:header="992" w:footer="992" w:gutter="0"/>
          <w:cols w:space="720"/>
          <w:noEndnote/>
          <w:docGrid w:linePitch="299"/>
        </w:sectPr>
      </w:pPr>
    </w:p>
    <w:p w:rsidR="00000000" w:rsidRPr="00F731A8" w:rsidP="00F731A8">
      <w:pPr>
        <w:pStyle w:val="SuperHeading"/>
      </w:pPr>
      <w:r w:rsidRPr="00F731A8">
        <w:t xml:space="preserve">Assessment </w:t>
      </w:r>
      <w:r w:rsidRPr="00F731A8">
        <w:t>Requirements for MSFSL5003 Conserve heritage leadlight and stained glass</w:t>
      </w:r>
    </w:p>
    <w:p w:rsidR="00000000" w:rsidRPr="00F731A8" w:rsidP="00F731A8">
      <w:pPr>
        <w:pStyle w:val="Heading1"/>
      </w:pPr>
      <w:bookmarkStart w:id="11" w:name="O_621590"/>
      <w:bookmarkEnd w:id="11"/>
      <w:r w:rsidRPr="00F731A8">
        <w:t>Modification History</w:t>
      </w:r>
    </w:p>
    <w:p w:rsidR="00000000" w:rsidRPr="00F731A8" w:rsidP="00316B30">
      <w:pPr>
        <w:pStyle w:val="BodyText"/>
      </w:pPr>
      <w:r w:rsidRPr="00F731A8">
        <w:t>Release 1 - New unit of competency</w:t>
      </w:r>
    </w:p>
    <w:p w:rsidR="00000000" w:rsidRPr="00F731A8" w:rsidP="00F731A8">
      <w:pPr>
        <w:pStyle w:val="Heading1"/>
      </w:pPr>
      <w:bookmarkStart w:id="12" w:name="O_621593"/>
      <w:bookmarkEnd w:id="12"/>
      <w:r w:rsidRPr="00F731A8">
        <w:t>Performance Evidence</w:t>
      </w:r>
    </w:p>
    <w:p w:rsidR="00000000" w:rsidRPr="00F731A8" w:rsidP="00F731A8">
      <w:pPr>
        <w:pStyle w:val="ListBullet"/>
      </w:pPr>
      <w:r w:rsidRPr="00F731A8">
        <w:t xml:space="preserve">Interpret work order and locate and apply relevant information </w:t>
      </w:r>
    </w:p>
    <w:p w:rsidR="00000000" w:rsidRPr="00F731A8" w:rsidP="00F731A8">
      <w:pPr>
        <w:pStyle w:val="ListBullet"/>
      </w:pPr>
      <w:r w:rsidRPr="00F731A8">
        <w:t>Apply sa</w:t>
      </w:r>
      <w:r w:rsidRPr="00F731A8">
        <w:t xml:space="preserve">fe handling requirements for equipment, products and materials, including use of personal protective equipment </w:t>
      </w:r>
    </w:p>
    <w:p w:rsidR="00000000" w:rsidRPr="00F731A8" w:rsidP="00F731A8">
      <w:pPr>
        <w:pStyle w:val="ListBullet"/>
      </w:pPr>
      <w:r w:rsidRPr="00F731A8">
        <w:t xml:space="preserve">Identify materials used in the work process </w:t>
      </w:r>
    </w:p>
    <w:p w:rsidR="00000000" w:rsidRPr="00F731A8" w:rsidP="00F731A8">
      <w:pPr>
        <w:pStyle w:val="ListBullet"/>
      </w:pPr>
      <w:r w:rsidRPr="00F731A8">
        <w:t xml:space="preserve">Follow work instructions, operating procedures and inspection processes to: </w:t>
      </w:r>
    </w:p>
    <w:p w:rsidR="00000000" w:rsidRPr="00F731A8" w:rsidP="00F731A8">
      <w:pPr>
        <w:pStyle w:val="ListBullet2"/>
      </w:pPr>
      <w:r w:rsidRPr="00F731A8">
        <w:t xml:space="preserve">minimise the risk of </w:t>
      </w:r>
      <w:r w:rsidRPr="00F731A8">
        <w:t xml:space="preserve">injury to self or others </w:t>
      </w:r>
    </w:p>
    <w:p w:rsidR="00000000" w:rsidRPr="00F731A8" w:rsidP="00F731A8">
      <w:pPr>
        <w:pStyle w:val="ListBullet2"/>
      </w:pPr>
      <w:r w:rsidRPr="00F731A8">
        <w:t xml:space="preserve">prevent damage to goods, equipment and products </w:t>
      </w:r>
    </w:p>
    <w:p w:rsidR="00000000" w:rsidRPr="00F731A8" w:rsidP="00F731A8">
      <w:pPr>
        <w:pStyle w:val="ListBullet2"/>
      </w:pPr>
      <w:r w:rsidRPr="00F731A8">
        <w:t xml:space="preserve">maintain required production output and product quality </w:t>
      </w:r>
    </w:p>
    <w:p w:rsidR="00000000" w:rsidRPr="00F731A8" w:rsidP="00F731A8">
      <w:pPr>
        <w:pStyle w:val="ListBullet"/>
      </w:pPr>
      <w:r w:rsidRPr="00F731A8">
        <w:t>Identify and interpret heritage legislation as it applies to leadlight and stained glass panels</w:t>
      </w:r>
    </w:p>
    <w:p w:rsidR="00000000" w:rsidRPr="00F731A8" w:rsidP="00F731A8">
      <w:pPr>
        <w:pStyle w:val="ListBullet"/>
      </w:pPr>
      <w:r w:rsidRPr="00F731A8">
        <w:t xml:space="preserve">Identify historical leadlight and stained glass panel construction methods </w:t>
      </w:r>
    </w:p>
    <w:p w:rsidR="00000000" w:rsidRPr="00F731A8" w:rsidP="00F731A8">
      <w:pPr>
        <w:pStyle w:val="ListBullet"/>
      </w:pPr>
      <w:r w:rsidRPr="00F731A8">
        <w:t>Assess and make decisions on conservation methods</w:t>
      </w:r>
    </w:p>
    <w:p w:rsidR="00000000" w:rsidRPr="00F731A8" w:rsidP="00F731A8">
      <w:pPr>
        <w:pStyle w:val="ListBullet"/>
      </w:pPr>
      <w:r w:rsidRPr="00F731A8">
        <w:t>Identify faults and problems with leadlight and stained glass panels, and their remedial methods</w:t>
      </w:r>
    </w:p>
    <w:p w:rsidR="00000000" w:rsidRPr="00F731A8" w:rsidP="00F731A8">
      <w:pPr>
        <w:pStyle w:val="ListBullet"/>
      </w:pPr>
      <w:r w:rsidRPr="00F731A8">
        <w:t>Conserve at least two (2) differe</w:t>
      </w:r>
      <w:r w:rsidRPr="00F731A8">
        <w:t>nt heritage leadlight and stained glass panels in accordance with industry best practice</w:t>
      </w:r>
    </w:p>
    <w:p w:rsidR="00000000" w:rsidRPr="00F731A8" w:rsidP="00F731A8">
      <w:pPr>
        <w:pStyle w:val="ListBullet"/>
      </w:pPr>
      <w:r w:rsidRPr="00F731A8">
        <w:t>Comply with legislation, regulations, standards, codes of practice and established safe practices and procedures for the assessment of conservation requirements of lea</w:t>
      </w:r>
      <w:r w:rsidRPr="00F731A8">
        <w:t>dlight and stained glass panels</w:t>
      </w:r>
    </w:p>
    <w:p w:rsidR="00000000" w:rsidRPr="00F731A8" w:rsidP="00F731A8">
      <w:pPr>
        <w:pStyle w:val="ListBullet"/>
      </w:pPr>
      <w:r w:rsidRPr="00F731A8">
        <w:t xml:space="preserve">Use mathematical ideas and techniques to correctly complete measurements, calculate area and estimate material requirements </w:t>
      </w:r>
    </w:p>
    <w:p w:rsidR="00000000" w:rsidRPr="00F731A8" w:rsidP="00F731A8">
      <w:pPr>
        <w:pStyle w:val="ListBullet"/>
      </w:pPr>
      <w:r w:rsidRPr="00F731A8">
        <w:t>Communicate ideas and information to enable confirmation of work requirements and specifications an</w:t>
      </w:r>
      <w:r w:rsidRPr="00F731A8">
        <w:t xml:space="preserve">d the reporting of work outcomes and problems, interpret basic plans and follow safety procedures </w:t>
      </w:r>
    </w:p>
    <w:p w:rsidR="00000000" w:rsidRPr="00F731A8" w:rsidP="00F731A8">
      <w:pPr>
        <w:pStyle w:val="ListBullet"/>
      </w:pPr>
      <w:r w:rsidRPr="00F731A8">
        <w:t>Avoid backtracking, work flow interruptions or wastage</w:t>
      </w:r>
    </w:p>
    <w:p w:rsidR="00000000" w:rsidRPr="00F731A8" w:rsidP="00F731A8">
      <w:pPr>
        <w:pStyle w:val="ListBullet"/>
      </w:pPr>
      <w:r w:rsidRPr="00F731A8">
        <w:t>Work with others and in a team by recognising dependencies and using cooperative approaches to optimis</w:t>
      </w:r>
      <w:r w:rsidRPr="00F731A8">
        <w:t>e work flow and productivity</w:t>
      </w:r>
    </w:p>
    <w:p w:rsidR="00000000" w:rsidRPr="00F731A8" w:rsidP="00F731A8">
      <w:pPr>
        <w:pStyle w:val="AllowPageBreak"/>
      </w:pPr>
    </w:p>
    <w:p w:rsidR="00000000" w:rsidRPr="00F731A8" w:rsidP="00F731A8">
      <w:pPr>
        <w:pStyle w:val="Heading1"/>
      </w:pPr>
      <w:bookmarkStart w:id="13" w:name="O_621592"/>
      <w:bookmarkEnd w:id="13"/>
      <w:r w:rsidRPr="00F731A8">
        <w:t>Knowledge Evidence</w:t>
      </w:r>
    </w:p>
    <w:p w:rsidR="00000000" w:rsidRPr="00F731A8" w:rsidP="00F731A8">
      <w:pPr>
        <w:pStyle w:val="ListBullet"/>
      </w:pPr>
      <w:r w:rsidRPr="00F731A8">
        <w:t>State or territory WHS legislation, regulations, standards and codes of practice relevant to the full range of processes for leadlight and stained glass operations</w:t>
      </w:r>
    </w:p>
    <w:p w:rsidR="00000000" w:rsidRPr="00F731A8" w:rsidP="00F731A8">
      <w:pPr>
        <w:pStyle w:val="ListBullet"/>
      </w:pPr>
      <w:r w:rsidRPr="00F731A8">
        <w:t>The principles of the Australia International Council on Monuments and Sites (ICOMOS) Burra Charter</w:t>
      </w:r>
    </w:p>
    <w:p w:rsidR="00000000" w:rsidRPr="00F731A8" w:rsidP="00F731A8">
      <w:pPr>
        <w:pStyle w:val="ListBullet"/>
      </w:pPr>
      <w:r w:rsidRPr="00F731A8">
        <w:t>Leadlight and stained glass panels construction and repair terminology and techniques</w:t>
      </w:r>
    </w:p>
    <w:p w:rsidR="00000000" w:rsidRPr="00F731A8" w:rsidP="00F731A8">
      <w:pPr>
        <w:pStyle w:val="ListBullet"/>
      </w:pPr>
      <w:r w:rsidRPr="00F731A8">
        <w:t>Organisational and site standards, requirements, policies and procedur</w:t>
      </w:r>
      <w:r w:rsidRPr="00F731A8">
        <w:t xml:space="preserve">es for the assessment of leadlight and stained glass panels </w:t>
      </w:r>
    </w:p>
    <w:p w:rsidR="00000000" w:rsidRPr="00F731A8" w:rsidP="00F731A8">
      <w:pPr>
        <w:pStyle w:val="ListBullet"/>
      </w:pPr>
      <w:r w:rsidRPr="00F731A8">
        <w:t>Types of glass and other materials, historically used in the leadlight and stained glass industry, their characteristics, properties, uses and limitations</w:t>
      </w:r>
    </w:p>
    <w:p w:rsidR="00000000" w:rsidRPr="00F731A8" w:rsidP="00F731A8">
      <w:pPr>
        <w:pStyle w:val="ListBullet"/>
      </w:pPr>
      <w:r w:rsidRPr="00F731A8">
        <w:t>Preservation, restoration or reconstruct</w:t>
      </w:r>
      <w:r w:rsidRPr="00F731A8">
        <w:t>ion techniques and when to use them</w:t>
      </w:r>
    </w:p>
    <w:p w:rsidR="00000000" w:rsidRPr="00F731A8" w:rsidP="00F731A8">
      <w:pPr>
        <w:pStyle w:val="ListBullet"/>
      </w:pPr>
      <w:r w:rsidRPr="00F731A8">
        <w:t xml:space="preserve">Heritage requirements specific to leadlight and stained glass </w:t>
      </w:r>
    </w:p>
    <w:p w:rsidR="00000000" w:rsidRPr="00F731A8" w:rsidP="00F731A8">
      <w:pPr>
        <w:pStyle w:val="ListBullet"/>
      </w:pPr>
      <w:r w:rsidRPr="00F731A8">
        <w:t>Established communication channels and protocols</w:t>
      </w:r>
    </w:p>
    <w:p w:rsidR="00000000" w:rsidRPr="00F731A8" w:rsidP="00F731A8">
      <w:pPr>
        <w:pStyle w:val="ListBullet"/>
      </w:pPr>
      <w:r w:rsidRPr="00F731A8">
        <w:t>Relevant problem identification and resolution in conservation of heritage leadlight and stained glass</w:t>
      </w:r>
    </w:p>
    <w:p w:rsidR="00000000" w:rsidRPr="00F731A8" w:rsidP="00F731A8">
      <w:pPr>
        <w:pStyle w:val="ListBullet"/>
      </w:pPr>
      <w:r w:rsidRPr="00F731A8">
        <w:t>Stora</w:t>
      </w:r>
      <w:r w:rsidRPr="00F731A8">
        <w:t>ge systems and labelling</w:t>
      </w:r>
    </w:p>
    <w:p w:rsidR="00000000" w:rsidRPr="00F731A8" w:rsidP="00F731A8">
      <w:pPr>
        <w:pStyle w:val="ListBullet"/>
      </w:pPr>
      <w:r w:rsidRPr="00F731A8">
        <w:t>Procedures for the recording, reporting and maintenance of workplace records and information</w:t>
      </w:r>
    </w:p>
    <w:p w:rsidR="00000000" w:rsidRPr="00F731A8" w:rsidP="00F731A8">
      <w:pPr>
        <w:pStyle w:val="ListBullet"/>
      </w:pPr>
      <w:r w:rsidRPr="00F731A8">
        <w:t>Appropriate mathematical procedures for estimation and measurement</w:t>
      </w:r>
    </w:p>
    <w:p w:rsidR="00000000" w:rsidRPr="00F731A8" w:rsidP="00F731A8">
      <w:pPr>
        <w:pStyle w:val="AllowPageBreak"/>
      </w:pPr>
    </w:p>
    <w:p w:rsidR="00000000" w:rsidRPr="00F731A8" w:rsidP="00F731A8">
      <w:pPr>
        <w:pStyle w:val="Heading1"/>
      </w:pPr>
      <w:bookmarkStart w:id="14" w:name="O_621591"/>
      <w:bookmarkEnd w:id="14"/>
      <w:r w:rsidRPr="00F731A8">
        <w:t>Assessment Conditions</w:t>
      </w:r>
    </w:p>
    <w:p w:rsidR="00000000" w:rsidRPr="00F731A8" w:rsidP="00F731A8">
      <w:pPr>
        <w:pStyle w:val="ListBullet"/>
      </w:pPr>
      <w:r w:rsidRPr="00F731A8">
        <w:t>Assessors must:</w:t>
      </w:r>
    </w:p>
    <w:p w:rsidR="00000000" w:rsidRPr="00F731A8" w:rsidP="00F731A8">
      <w:pPr>
        <w:pStyle w:val="ListBullet2"/>
      </w:pPr>
      <w:r w:rsidRPr="00F731A8">
        <w:t xml:space="preserve">hold training </w:t>
      </w:r>
      <w:r w:rsidRPr="00F731A8">
        <w:t>and assessment competencies as determined by the National Skills Standards Council (NSSC) or its successors</w:t>
      </w:r>
    </w:p>
    <w:p w:rsidR="00000000" w:rsidRPr="00F731A8" w:rsidP="00F731A8">
      <w:pPr>
        <w:pStyle w:val="ListBullet2"/>
      </w:pPr>
      <w:r w:rsidRPr="00F731A8">
        <w:t xml:space="preserve">have vocational competency in the furnishing industry at least to the level being assessed with broad industry knowledge and experience, usually combined with a relevant industry qualification </w:t>
      </w:r>
    </w:p>
    <w:p w:rsidR="00000000" w:rsidRPr="00F731A8" w:rsidP="00F731A8">
      <w:pPr>
        <w:pStyle w:val="ListBullet2"/>
      </w:pPr>
      <w:r w:rsidRPr="00F731A8">
        <w:t>be familiar with the current skills and knowledge used and hav</w:t>
      </w:r>
      <w:r w:rsidRPr="00F731A8">
        <w:t>e relevant, current experience in the furnishing industry.</w:t>
      </w:r>
    </w:p>
    <w:p w:rsidR="00000000" w:rsidRPr="00F731A8" w:rsidP="00F731A8">
      <w:pPr>
        <w:pStyle w:val="ListBullet"/>
      </w:pPr>
      <w:r w:rsidRPr="00F731A8">
        <w:t xml:space="preserve">Assessment methods must confirm consistency of performance over time rather than a single assessment event and in a range of workplace relevant contexts. </w:t>
      </w:r>
    </w:p>
    <w:p w:rsidR="00000000" w:rsidRPr="00F731A8" w:rsidP="00F731A8">
      <w:pPr>
        <w:pStyle w:val="ListBullet"/>
      </w:pPr>
      <w:r w:rsidRPr="00F731A8">
        <w:t>Assessment must be by observation of rele</w:t>
      </w:r>
      <w:r w:rsidRPr="00F731A8">
        <w:t xml:space="preserve">vant tasks with questioning on underpinning knowledge and, where applicable, multimedia evidence, supervisor’s reports, projects and work samples. </w:t>
      </w:r>
    </w:p>
    <w:p w:rsidR="00000000" w:rsidRPr="00F731A8" w:rsidP="00F731A8">
      <w:pPr>
        <w:pStyle w:val="ListBullet"/>
      </w:pPr>
      <w:r w:rsidRPr="00F731A8">
        <w:t>Assessment is to be conducted on single units of competency or in conjunction with other related units of co</w:t>
      </w:r>
      <w:r w:rsidRPr="00F731A8">
        <w:t>mpetency. Foundation skills are integral to competent performance in the unit and should not be assessed separately.</w:t>
      </w:r>
    </w:p>
    <w:p w:rsidR="00000000" w:rsidRPr="00F731A8" w:rsidP="00F731A8">
      <w:pPr>
        <w:pStyle w:val="ListBullet"/>
      </w:pPr>
      <w:r w:rsidRPr="00F731A8">
        <w:t>Assessment must occur on the job or in a workplace simulated facility with relevant process, equipment, materials, work instructions and de</w:t>
      </w:r>
      <w:r w:rsidRPr="00F731A8">
        <w:t>adlines.</w:t>
      </w:r>
    </w:p>
    <w:p w:rsidR="00000000" w:rsidRPr="00F731A8" w:rsidP="00F731A8">
      <w:pPr>
        <w:pStyle w:val="ListBullet"/>
      </w:pPr>
      <w:r w:rsidRPr="00F731A8">
        <w:t>Access is required to a panel, materials, equipment and specifications relevant to the conservation of heritage leadlight and stained glass panels.</w:t>
      </w:r>
    </w:p>
    <w:p w:rsidR="00000000" w:rsidRPr="00F731A8" w:rsidP="00F731A8">
      <w:pPr>
        <w:pStyle w:val="AllowPageBreak"/>
      </w:pPr>
    </w:p>
    <w:p w:rsidR="00000000" w:rsidRPr="00F731A8" w:rsidP="00F731A8">
      <w:pPr>
        <w:pStyle w:val="Heading1"/>
      </w:pPr>
      <w:bookmarkStart w:id="15" w:name="O_621589"/>
      <w:bookmarkEnd w:id="15"/>
      <w:r w:rsidRPr="00F731A8">
        <w:t>Links</w:t>
      </w:r>
    </w:p>
    <w:p w:rsidR="00000000" w:rsidRPr="00F731A8" w:rsidP="00316B30">
      <w:pPr>
        <w:pStyle w:val="BodyText"/>
      </w:pPr>
      <w:r w:rsidRPr="00F731A8">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90778E">
        <w:rPr>
          <w:rStyle w:val="Hyperlink"/>
        </w:rPr>
        <w:t>https://vetnet.gov.au/Pages/TrainingDocs.aspx?q=0601ab95-583a-4e93-b2d4-cfb27b03ed73</w:t>
      </w:r>
      <w:r>
        <w:fldChar w:fldCharType="end"/>
      </w:r>
    </w:p>
    <w:p w:rsidR="00000000" w:rsidRPr="00F731A8" w:rsidP="00F731A8"/>
    <w:sectPr w:rsidSect="00F731A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1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1A8" w:rsidRPr="00316B30" w:rsidP="00316B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1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B30" w:rsidP="00F731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16B30" w:rsidP="00F731A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16B30" w:rsidP="00F731A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1A8" w:rsidP="00F731A8">
    <w:pPr>
      <w:pStyle w:val="Footer"/>
      <w:framePr w:wrap="around"/>
    </w:pPr>
    <w:r>
      <w:fldChar w:fldCharType="begin"/>
    </w:r>
    <w:r>
      <w:instrText xml:space="preserve"> DOCPROPERTY  Subject  \* MERGEFORMAT </w:instrText>
    </w:r>
    <w:r>
      <w:fldChar w:fldCharType="separate"/>
    </w:r>
    <w:r w:rsidR="00316B30">
      <w:t>Approved</w:t>
    </w:r>
    <w:r w:rsidR="00316B30">
      <w:fldChar w:fldCharType="end"/>
    </w:r>
    <w:r>
      <w:tab/>
      <w:t xml:space="preserve">Page </w:t>
    </w:r>
    <w:r>
      <w:fldChar w:fldCharType="begin"/>
    </w:r>
    <w:r>
      <w:instrText xml:space="preserve"> PAGE  \* Arabic  \* MERGEFORMAT </w:instrText>
    </w:r>
    <w:r>
      <w:fldChar w:fldCharType="separate"/>
    </w:r>
    <w:r w:rsidR="00316B30">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16B30">
      <w:rPr>
        <w:noProof/>
      </w:rPr>
      <w:t>6</w:t>
    </w:r>
    <w:r>
      <w:rPr>
        <w:noProof/>
      </w:rPr>
      <w:fldChar w:fldCharType="end"/>
    </w:r>
  </w:p>
  <w:p w:rsidR="00F731A8" w:rsidP="00F731A8">
    <w:pPr>
      <w:pStyle w:val="Footer"/>
      <w:framePr w:wrap="around"/>
    </w:pPr>
    <w:r>
      <w:t xml:space="preserve">© Commonwealth of Australia, </w:t>
    </w:r>
    <w:r>
      <w:fldChar w:fldCharType="begin"/>
    </w:r>
    <w:r>
      <w:instrText xml:space="preserve"> DATE  \@ "yyyy"  \* MERGEFORMAT </w:instrText>
    </w:r>
    <w:r>
      <w:fldChar w:fldCharType="separate"/>
    </w:r>
    <w:r w:rsidR="00316B30">
      <w:rPr>
        <w:noProof/>
      </w:rPr>
      <w:t>2025</w:t>
    </w:r>
    <w:r>
      <w:fldChar w:fldCharType="end"/>
    </w:r>
    <w:r>
      <w:tab/>
    </w:r>
    <w:r>
      <w:fldChar w:fldCharType="begin"/>
    </w:r>
    <w:r>
      <w:instrText xml:space="preserve"> DOCPROPERTY  Author  \* MERGEFORMAT </w:instrText>
    </w:r>
    <w:r>
      <w:fldChar w:fldCharType="separate"/>
    </w:r>
    <w:r w:rsidR="00316B30">
      <w:t>Skills Insight</w:t>
    </w:r>
    <w:r w:rsidR="00316B30">
      <w:fldChar w:fldCharType="end"/>
    </w:r>
  </w:p>
  <w:p w:rsidR="00F731A8" w:rsidP="00F731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1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B3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31A8" w:rsidRPr="00316B30" w:rsidP="00316B3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1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B30" w:rsidRPr="002D2AF8" w:rsidP="00F731A8">
    <w:pPr>
      <w:pStyle w:val="Header"/>
      <w:framePr w:wrap="around"/>
    </w:pPr>
    <w:r>
      <w:fldChar w:fldCharType="begin"/>
    </w:r>
    <w:r>
      <w:instrText xml:space="preserve"> TITLE   \* MERGEFORMAT </w:instrText>
    </w:r>
    <w:r>
      <w:fldChar w:fldCharType="separate"/>
    </w:r>
    <w:r>
      <w:t>MSFSL5003 Conserve heritage leadlight and stained glass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16B30" w:rsidP="00F731A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1A8" w:rsidRPr="002D2AF8" w:rsidP="00F731A8">
    <w:pPr>
      <w:pStyle w:val="Header"/>
      <w:framePr w:wrap="around"/>
    </w:pPr>
    <w:r>
      <w:fldChar w:fldCharType="begin"/>
    </w:r>
    <w:r>
      <w:instrText xml:space="preserve"> TITLE   \* MERGEFORMAT </w:instrText>
    </w:r>
    <w:r>
      <w:fldChar w:fldCharType="separate"/>
    </w:r>
    <w:r w:rsidR="00316B30">
      <w:t>MSFSL5003 Conserve heritage leadlight and stained glass</w:t>
    </w:r>
    <w:r w:rsidR="00316B30">
      <w:fldChar w:fldCharType="end"/>
    </w:r>
    <w:r>
      <w:tab/>
      <w:t xml:space="preserve">Date this document was generated: </w:t>
    </w:r>
    <w:r>
      <w:fldChar w:fldCharType="begin"/>
    </w:r>
    <w:r>
      <w:instrText xml:space="preserve"> CREATEDATE  \@ "d MMMM yyyy"  \* MERGEFORMAT </w:instrText>
    </w:r>
    <w:r>
      <w:fldChar w:fldCharType="separate"/>
    </w:r>
    <w:r w:rsidR="00316B30">
      <w:rPr>
        <w:noProof/>
      </w:rPr>
      <w:t>2 March 2025</w:t>
    </w:r>
    <w:r>
      <w:fldChar w:fldCharType="end"/>
    </w:r>
  </w:p>
  <w:p w:rsidR="00F731A8" w:rsidP="00F731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706A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E4250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9E88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31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31A8"/>
    <w:pPr>
      <w:spacing w:before="360" w:after="60"/>
      <w:outlineLvl w:val="0"/>
    </w:pPr>
    <w:rPr>
      <w:sz w:val="32"/>
    </w:rPr>
  </w:style>
  <w:style w:type="paragraph" w:styleId="Heading2">
    <w:name w:val="heading 2"/>
    <w:basedOn w:val="HeadingBase"/>
    <w:next w:val="BodyText"/>
    <w:link w:val="Heading2Char"/>
    <w:qFormat/>
    <w:rsid w:val="00F731A8"/>
    <w:pPr>
      <w:keepLines/>
      <w:spacing w:before="240" w:after="120"/>
      <w:outlineLvl w:val="1"/>
    </w:pPr>
    <w:rPr>
      <w:sz w:val="28"/>
      <w:szCs w:val="40"/>
    </w:rPr>
  </w:style>
  <w:style w:type="paragraph" w:styleId="Heading3">
    <w:name w:val="heading 3"/>
    <w:basedOn w:val="HeadingBase"/>
    <w:next w:val="BodyText"/>
    <w:link w:val="Heading3Char"/>
    <w:qFormat/>
    <w:rsid w:val="00F731A8"/>
    <w:pPr>
      <w:spacing w:before="180" w:after="120"/>
      <w:outlineLvl w:val="2"/>
    </w:pPr>
    <w:rPr>
      <w:spacing w:val="-10"/>
      <w:kern w:val="32"/>
    </w:rPr>
  </w:style>
  <w:style w:type="paragraph" w:styleId="Heading4">
    <w:name w:val="heading 4"/>
    <w:basedOn w:val="HeadingBase"/>
    <w:next w:val="BodyText"/>
    <w:link w:val="Heading4Char"/>
    <w:qFormat/>
    <w:rsid w:val="00F731A8"/>
    <w:pPr>
      <w:spacing w:before="160" w:after="120"/>
      <w:outlineLvl w:val="3"/>
    </w:pPr>
    <w:rPr>
      <w:sz w:val="22"/>
    </w:rPr>
  </w:style>
  <w:style w:type="paragraph" w:styleId="Heading5">
    <w:name w:val="heading 5"/>
    <w:basedOn w:val="HeadingBase"/>
    <w:next w:val="Normal"/>
    <w:link w:val="Heading5Char"/>
    <w:qFormat/>
    <w:rsid w:val="00F731A8"/>
    <w:pPr>
      <w:spacing w:before="80"/>
      <w:outlineLvl w:val="4"/>
    </w:pPr>
    <w:rPr>
      <w:color w:val="918585"/>
      <w:sz w:val="20"/>
    </w:rPr>
  </w:style>
  <w:style w:type="paragraph" w:styleId="Heading6">
    <w:name w:val="heading 6"/>
    <w:basedOn w:val="HeadingBase"/>
    <w:next w:val="Normal"/>
    <w:link w:val="Heading6Char"/>
    <w:qFormat/>
    <w:rsid w:val="00F731A8"/>
    <w:pPr>
      <w:spacing w:before="60"/>
      <w:outlineLvl w:val="5"/>
    </w:pPr>
    <w:rPr>
      <w:color w:val="918585"/>
      <w:sz w:val="20"/>
    </w:rPr>
  </w:style>
  <w:style w:type="paragraph" w:styleId="Heading7">
    <w:name w:val="heading 7"/>
    <w:basedOn w:val="Normal"/>
    <w:next w:val="Normal"/>
    <w:link w:val="Heading7Char"/>
    <w:qFormat/>
    <w:rsid w:val="00F731A8"/>
    <w:pPr>
      <w:ind w:left="720"/>
      <w:outlineLvl w:val="6"/>
    </w:pPr>
    <w:rPr>
      <w:i/>
    </w:rPr>
  </w:style>
  <w:style w:type="paragraph" w:styleId="Heading8">
    <w:name w:val="heading 8"/>
    <w:basedOn w:val="Normal"/>
    <w:next w:val="Normal"/>
    <w:link w:val="Heading8Char"/>
    <w:qFormat/>
    <w:rsid w:val="00F731A8"/>
    <w:pPr>
      <w:ind w:left="720"/>
      <w:outlineLvl w:val="7"/>
    </w:pPr>
    <w:rPr>
      <w:i/>
    </w:rPr>
  </w:style>
  <w:style w:type="paragraph" w:styleId="Heading9">
    <w:name w:val="heading 9"/>
    <w:basedOn w:val="Normal"/>
    <w:next w:val="Normal"/>
    <w:link w:val="Heading9Char"/>
    <w:qFormat/>
    <w:rsid w:val="00F731A8"/>
    <w:pPr>
      <w:ind w:left="720"/>
      <w:outlineLvl w:val="8"/>
    </w:pPr>
    <w:rPr>
      <w:i/>
    </w:rPr>
  </w:style>
  <w:style w:type="character" w:default="1" w:styleId="DefaultParagraphFont">
    <w:name w:val="Default Paragraph Font"/>
    <w:uiPriority w:val="1"/>
    <w:unhideWhenUsed/>
    <w:rsid w:val="00F731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31A8"/>
  </w:style>
  <w:style w:type="character" w:customStyle="1" w:styleId="Heading1Char">
    <w:name w:val="Heading 1 Char"/>
    <w:basedOn w:val="DefaultParagraphFont"/>
    <w:link w:val="Heading1"/>
    <w:rsid w:val="00F731A8"/>
    <w:rPr>
      <w:rFonts w:ascii="Times New Roman" w:eastAsia="Times New Roman" w:hAnsi="Times New Roman" w:cs="Times New Roman"/>
      <w:b/>
      <w:sz w:val="32"/>
      <w:szCs w:val="20"/>
      <w:lang w:eastAsia="en-US"/>
    </w:rPr>
  </w:style>
  <w:style w:type="paragraph" w:styleId="BodyText">
    <w:name w:val="Body Text"/>
    <w:basedOn w:val="Normal"/>
    <w:link w:val="BodyTextChar"/>
    <w:rsid w:val="00F731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31A8"/>
    <w:rPr>
      <w:rFonts w:ascii="Times New Roman" w:eastAsia="Times New Roman" w:hAnsi="Times New Roman" w:cs="Times New Roman"/>
      <w:sz w:val="24"/>
      <w:lang w:eastAsia="en-US"/>
    </w:rPr>
  </w:style>
  <w:style w:type="paragraph" w:styleId="ListBullet">
    <w:name w:val="List Bullet"/>
    <w:basedOn w:val="List"/>
    <w:rsid w:val="00F731A8"/>
    <w:pPr>
      <w:numPr>
        <w:numId w:val="12"/>
      </w:numPr>
      <w:tabs>
        <w:tab w:val="clear" w:pos="340"/>
      </w:tabs>
      <w:spacing w:before="40" w:after="40"/>
    </w:pPr>
  </w:style>
  <w:style w:type="character" w:customStyle="1" w:styleId="SpecialBold">
    <w:name w:val="Special Bold"/>
    <w:basedOn w:val="DefaultParagraphFont"/>
    <w:rsid w:val="00F731A8"/>
    <w:rPr>
      <w:b/>
      <w:spacing w:val="0"/>
    </w:rPr>
  </w:style>
  <w:style w:type="paragraph" w:styleId="ListBullet2">
    <w:name w:val="List Bullet 2"/>
    <w:basedOn w:val="List2"/>
    <w:rsid w:val="00F731A8"/>
    <w:pPr>
      <w:numPr>
        <w:numId w:val="13"/>
      </w:numPr>
      <w:tabs>
        <w:tab w:val="clear" w:pos="680"/>
      </w:tabs>
    </w:pPr>
  </w:style>
  <w:style w:type="character" w:styleId="Emphasis">
    <w:name w:val="Emphasis"/>
    <w:basedOn w:val="DefaultParagraphFont"/>
    <w:qFormat/>
    <w:rsid w:val="00F731A8"/>
    <w:rPr>
      <w:i/>
    </w:rPr>
  </w:style>
  <w:style w:type="paragraph" w:customStyle="1" w:styleId="SuperHeading">
    <w:name w:val="SuperHeading"/>
    <w:basedOn w:val="Normal"/>
    <w:rsid w:val="00F731A8"/>
    <w:pPr>
      <w:spacing w:before="240" w:after="120"/>
      <w:outlineLvl w:val="0"/>
    </w:pPr>
    <w:rPr>
      <w:rFonts w:ascii="Times New Roman" w:hAnsi="Times New Roman"/>
      <w:b/>
      <w:sz w:val="32"/>
    </w:rPr>
  </w:style>
  <w:style w:type="paragraph" w:customStyle="1" w:styleId="AllowPageBreak">
    <w:name w:val="AllowPageBreak"/>
    <w:rsid w:val="00F731A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731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31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31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31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31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31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31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31A8"/>
    <w:rPr>
      <w:rFonts w:ascii="Courier New" w:eastAsia="Times New Roman" w:hAnsi="Courier New" w:cs="Times New Roman"/>
      <w:i/>
      <w:szCs w:val="20"/>
      <w:lang w:eastAsia="en-US"/>
    </w:rPr>
  </w:style>
  <w:style w:type="paragraph" w:customStyle="1" w:styleId="HeadingBase">
    <w:name w:val="Heading Base"/>
    <w:rsid w:val="00F731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31A8"/>
    <w:pPr>
      <w:tabs>
        <w:tab w:val="right" w:leader="dot" w:pos="9072"/>
      </w:tabs>
      <w:ind w:left="567"/>
    </w:pPr>
    <w:rPr>
      <w:szCs w:val="22"/>
    </w:rPr>
  </w:style>
  <w:style w:type="paragraph" w:customStyle="1" w:styleId="TOCBase">
    <w:name w:val="TOC Base"/>
    <w:rsid w:val="00F731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31A8"/>
    <w:pPr>
      <w:tabs>
        <w:tab w:val="right" w:leader="dot" w:pos="9072"/>
      </w:tabs>
      <w:spacing w:before="40" w:after="40"/>
      <w:ind w:left="284"/>
    </w:pPr>
    <w:rPr>
      <w:rFonts w:ascii="Times New Roman" w:hAnsi="Times New Roman"/>
    </w:rPr>
  </w:style>
  <w:style w:type="paragraph" w:styleId="TOC1">
    <w:name w:val="toc 1"/>
    <w:basedOn w:val="TOCBase"/>
    <w:next w:val="Normal"/>
    <w:rsid w:val="00F731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31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31A8"/>
    <w:rPr>
      <w:rFonts w:ascii="Times New Roman" w:eastAsia="Times New Roman" w:hAnsi="Times New Roman" w:cs="Times New Roman"/>
      <w:sz w:val="16"/>
      <w:lang w:eastAsia="en-US"/>
    </w:rPr>
  </w:style>
  <w:style w:type="paragraph" w:styleId="Title">
    <w:name w:val="Title"/>
    <w:basedOn w:val="HeadingBase"/>
    <w:link w:val="TitleChar"/>
    <w:qFormat/>
    <w:rsid w:val="00F731A8"/>
    <w:pPr>
      <w:spacing w:before="5040"/>
      <w:jc w:val="center"/>
    </w:pPr>
    <w:rPr>
      <w:sz w:val="48"/>
      <w:szCs w:val="72"/>
      <w:lang w:val="en-US"/>
    </w:rPr>
  </w:style>
  <w:style w:type="character" w:customStyle="1" w:styleId="TitleChar">
    <w:name w:val="Title Char"/>
    <w:basedOn w:val="DefaultParagraphFont"/>
    <w:link w:val="Title"/>
    <w:rsid w:val="00F731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31A8"/>
    <w:pPr>
      <w:tabs>
        <w:tab w:val="left" w:pos="3600"/>
        <w:tab w:val="left" w:pos="3958"/>
      </w:tabs>
    </w:pPr>
  </w:style>
  <w:style w:type="paragraph" w:styleId="List">
    <w:name w:val="List"/>
    <w:basedOn w:val="BodyText"/>
    <w:next w:val="BodyText"/>
    <w:rsid w:val="00F731A8"/>
    <w:pPr>
      <w:tabs>
        <w:tab w:val="left" w:pos="340"/>
      </w:tabs>
      <w:spacing w:before="60" w:after="60"/>
      <w:ind w:left="340" w:hanging="340"/>
    </w:pPr>
  </w:style>
  <w:style w:type="paragraph" w:customStyle="1" w:styleId="Note">
    <w:name w:val="Note"/>
    <w:basedOn w:val="BodyText"/>
    <w:rsid w:val="00F731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31A8"/>
    <w:pPr>
      <w:framePr w:wrap="auto" w:hAnchor="text" w:y="6049"/>
    </w:pPr>
    <w:rPr>
      <w:color w:val="000000"/>
      <w:sz w:val="40"/>
    </w:rPr>
  </w:style>
  <w:style w:type="paragraph" w:customStyle="1" w:styleId="TOCTitle">
    <w:name w:val="TOCTitle"/>
    <w:basedOn w:val="Heading1"/>
    <w:rsid w:val="00F731A8"/>
    <w:pPr>
      <w:spacing w:after="240"/>
      <w:jc w:val="center"/>
      <w:outlineLvl w:val="9"/>
    </w:pPr>
    <w:rPr>
      <w:caps/>
    </w:rPr>
  </w:style>
  <w:style w:type="paragraph" w:customStyle="1" w:styleId="Version">
    <w:name w:val="Version"/>
    <w:rsid w:val="00F731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31A8"/>
    <w:pPr>
      <w:keepNext w:val="0"/>
      <w:tabs>
        <w:tab w:val="right" w:pos="4176"/>
      </w:tabs>
      <w:ind w:left="198" w:hanging="198"/>
    </w:pPr>
    <w:rPr>
      <w:rFonts w:ascii="Garamond" w:hAnsi="Garamond"/>
    </w:rPr>
  </w:style>
  <w:style w:type="paragraph" w:styleId="IndexHeading">
    <w:name w:val="index heading"/>
    <w:basedOn w:val="Normal"/>
    <w:next w:val="Index1"/>
    <w:semiHidden/>
    <w:rsid w:val="00F731A8"/>
    <w:pPr>
      <w:spacing w:before="120" w:after="120"/>
    </w:pPr>
    <w:rPr>
      <w:rFonts w:ascii="Arial" w:hAnsi="Arial"/>
      <w:b/>
      <w:color w:val="918585"/>
      <w:sz w:val="24"/>
    </w:rPr>
  </w:style>
  <w:style w:type="paragraph" w:styleId="Header">
    <w:name w:val="header"/>
    <w:basedOn w:val="Normal"/>
    <w:link w:val="HeaderChar"/>
    <w:rsid w:val="00F731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31A8"/>
    <w:rPr>
      <w:rFonts w:ascii="Times New Roman" w:eastAsia="Times New Roman" w:hAnsi="Times New Roman" w:cs="Times New Roman"/>
      <w:sz w:val="16"/>
      <w:szCs w:val="20"/>
      <w:lang w:val="en-GB" w:eastAsia="en-US"/>
    </w:rPr>
  </w:style>
  <w:style w:type="paragraph" w:customStyle="1" w:styleId="Chapter">
    <w:name w:val="Chapter"/>
    <w:basedOn w:val="Normal"/>
    <w:rsid w:val="00F731A8"/>
    <w:pPr>
      <w:spacing w:before="240"/>
    </w:pPr>
    <w:rPr>
      <w:rFonts w:ascii="Times New Roman" w:hAnsi="Times New Roman"/>
      <w:smallCaps/>
      <w:spacing w:val="80"/>
      <w:sz w:val="28"/>
    </w:rPr>
  </w:style>
  <w:style w:type="paragraph" w:customStyle="1" w:styleId="InChapter">
    <w:name w:val="InChapter"/>
    <w:basedOn w:val="Heading3"/>
    <w:rsid w:val="00F731A8"/>
    <w:pPr>
      <w:spacing w:after="240"/>
      <w:outlineLvl w:val="9"/>
    </w:pPr>
    <w:rPr>
      <w:noProof/>
    </w:rPr>
  </w:style>
  <w:style w:type="paragraph" w:styleId="Index2">
    <w:name w:val="index 2"/>
    <w:basedOn w:val="Normal"/>
    <w:next w:val="Normal"/>
    <w:semiHidden/>
    <w:rsid w:val="00F731A8"/>
    <w:pPr>
      <w:tabs>
        <w:tab w:val="right" w:pos="4176"/>
      </w:tabs>
      <w:ind w:left="568" w:hanging="284"/>
    </w:pPr>
    <w:rPr>
      <w:rFonts w:ascii="Garamond" w:hAnsi="Garamond"/>
    </w:rPr>
  </w:style>
  <w:style w:type="paragraph" w:customStyle="1" w:styleId="Byline">
    <w:name w:val="Byline"/>
    <w:rsid w:val="00F731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31A8"/>
    <w:pPr>
      <w:tabs>
        <w:tab w:val="clear" w:pos="3600"/>
        <w:tab w:val="clear" w:pos="3958"/>
      </w:tabs>
      <w:jc w:val="right"/>
    </w:pPr>
  </w:style>
  <w:style w:type="paragraph" w:styleId="Caption">
    <w:name w:val="caption"/>
    <w:basedOn w:val="BodyText"/>
    <w:next w:val="Normal"/>
    <w:qFormat/>
    <w:rsid w:val="00F731A8"/>
    <w:pPr>
      <w:framePr w:w="2268" w:hSpace="181" w:vSpace="181" w:wrap="around" w:vAnchor="text" w:hAnchor="page" w:x="1135" w:y="285" w:anchorLock="1"/>
    </w:pPr>
    <w:rPr>
      <w:i/>
    </w:rPr>
  </w:style>
  <w:style w:type="paragraph" w:customStyle="1" w:styleId="MiniTOCTitle">
    <w:name w:val="MiniTOCTitle"/>
    <w:basedOn w:val="Heading4"/>
    <w:rsid w:val="00F731A8"/>
    <w:pPr>
      <w:spacing w:before="240"/>
      <w:outlineLvl w:val="9"/>
    </w:pPr>
    <w:rPr>
      <w:noProof/>
      <w:sz w:val="24"/>
    </w:rPr>
  </w:style>
  <w:style w:type="paragraph" w:customStyle="1" w:styleId="MiniTOCItem">
    <w:name w:val="MiniTOCItem"/>
    <w:basedOn w:val="ListBullet"/>
    <w:rsid w:val="00F731A8"/>
    <w:pPr>
      <w:numPr>
        <w:numId w:val="0"/>
      </w:numPr>
      <w:tabs>
        <w:tab w:val="right" w:leader="dot" w:pos="6521"/>
      </w:tabs>
      <w:spacing w:before="0" w:after="0"/>
    </w:pPr>
  </w:style>
  <w:style w:type="paragraph" w:customStyle="1" w:styleId="TOFTitle">
    <w:name w:val="TOFTitle"/>
    <w:basedOn w:val="TOCTitle"/>
    <w:rsid w:val="00F731A8"/>
  </w:style>
  <w:style w:type="paragraph" w:styleId="TableofFigures">
    <w:name w:val="table of figures"/>
    <w:basedOn w:val="Normal"/>
    <w:next w:val="Normal"/>
    <w:semiHidden/>
    <w:rsid w:val="00F731A8"/>
    <w:pPr>
      <w:tabs>
        <w:tab w:val="right" w:leader="dot" w:pos="9072"/>
      </w:tabs>
      <w:ind w:left="970" w:hanging="403"/>
    </w:pPr>
    <w:rPr>
      <w:rFonts w:ascii="Times New Roman" w:hAnsi="Times New Roman"/>
      <w:b/>
    </w:rPr>
  </w:style>
  <w:style w:type="paragraph" w:styleId="ListNumber">
    <w:name w:val="List Number"/>
    <w:basedOn w:val="List"/>
    <w:rsid w:val="00F731A8"/>
    <w:pPr>
      <w:numPr>
        <w:numId w:val="15"/>
      </w:numPr>
      <w:tabs>
        <w:tab w:val="clear" w:pos="340"/>
      </w:tabs>
    </w:pPr>
  </w:style>
  <w:style w:type="character" w:customStyle="1" w:styleId="WingdingSymbols">
    <w:name w:val="Wingding Symbols"/>
    <w:rsid w:val="00F731A8"/>
    <w:rPr>
      <w:rFonts w:ascii="Wingdings" w:hAnsi="Wingdings"/>
    </w:rPr>
  </w:style>
  <w:style w:type="paragraph" w:customStyle="1" w:styleId="TableHeading">
    <w:name w:val="Table Heading"/>
    <w:basedOn w:val="HeadingBase"/>
    <w:rsid w:val="00F731A8"/>
    <w:pPr>
      <w:keepLines/>
      <w:pBdr>
        <w:bottom w:val="single" w:sz="6" w:space="1" w:color="918585"/>
      </w:pBdr>
      <w:spacing w:before="240"/>
    </w:pPr>
  </w:style>
  <w:style w:type="character" w:customStyle="1" w:styleId="HotSpot">
    <w:name w:val="HotSpot"/>
    <w:rsid w:val="00F731A8"/>
    <w:rPr>
      <w:color w:val="0033CC"/>
      <w:u w:val="none"/>
    </w:rPr>
  </w:style>
  <w:style w:type="paragraph" w:customStyle="1" w:styleId="BodyTextRight">
    <w:name w:val="Body Text Right"/>
    <w:basedOn w:val="BodyText"/>
    <w:rsid w:val="00F731A8"/>
    <w:pPr>
      <w:spacing w:before="0" w:after="0"/>
      <w:jc w:val="right"/>
    </w:pPr>
  </w:style>
  <w:style w:type="paragraph" w:styleId="Index3">
    <w:name w:val="index 3"/>
    <w:basedOn w:val="ListNumber2"/>
    <w:next w:val="Normal"/>
    <w:semiHidden/>
    <w:rsid w:val="00F731A8"/>
    <w:pPr>
      <w:numPr>
        <w:numId w:val="0"/>
      </w:numPr>
      <w:tabs>
        <w:tab w:val="right" w:leader="dot" w:pos="4176"/>
      </w:tabs>
    </w:pPr>
  </w:style>
  <w:style w:type="paragraph" w:styleId="ListNumber2">
    <w:name w:val="List Number 2"/>
    <w:basedOn w:val="List2"/>
    <w:rsid w:val="00F731A8"/>
    <w:pPr>
      <w:numPr>
        <w:numId w:val="10"/>
      </w:numPr>
      <w:tabs>
        <w:tab w:val="clear" w:pos="1060"/>
      </w:tabs>
    </w:pPr>
  </w:style>
  <w:style w:type="paragraph" w:customStyle="1" w:styleId="MarginNote">
    <w:name w:val="Margin Note"/>
    <w:basedOn w:val="BodyText"/>
    <w:rsid w:val="00F731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31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31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31A8"/>
    <w:rPr>
      <w:sz w:val="32"/>
    </w:rPr>
  </w:style>
  <w:style w:type="paragraph" w:customStyle="1" w:styleId="HeadingProcedure">
    <w:name w:val="Heading Procedure"/>
    <w:basedOn w:val="HeadingBase"/>
    <w:next w:val="Normal"/>
    <w:rsid w:val="00F731A8"/>
    <w:pPr>
      <w:tabs>
        <w:tab w:val="left" w:pos="0"/>
      </w:tabs>
      <w:spacing w:before="120" w:after="60"/>
    </w:pPr>
    <w:rPr>
      <w:i/>
      <w:color w:val="918585"/>
      <w:sz w:val="22"/>
    </w:rPr>
  </w:style>
  <w:style w:type="paragraph" w:customStyle="1" w:styleId="TableBodyText">
    <w:name w:val="Table Body Text"/>
    <w:basedOn w:val="BodyText"/>
    <w:rsid w:val="00F731A8"/>
    <w:pPr>
      <w:spacing w:before="60" w:after="60"/>
    </w:pPr>
  </w:style>
  <w:style w:type="paragraph" w:styleId="ListContinue">
    <w:name w:val="List Continue"/>
    <w:basedOn w:val="List"/>
    <w:rsid w:val="00F731A8"/>
    <w:pPr>
      <w:ind w:firstLine="0"/>
    </w:pPr>
  </w:style>
  <w:style w:type="paragraph" w:customStyle="1" w:styleId="ListNote">
    <w:name w:val="List Note"/>
    <w:basedOn w:val="List"/>
    <w:rsid w:val="00F731A8"/>
    <w:pPr>
      <w:pBdr>
        <w:top w:val="single" w:sz="6" w:space="2" w:color="918585"/>
        <w:bottom w:val="single" w:sz="6" w:space="2" w:color="918585"/>
      </w:pBdr>
      <w:tabs>
        <w:tab w:val="left" w:pos="1021"/>
      </w:tabs>
      <w:ind w:firstLine="0"/>
    </w:pPr>
  </w:style>
  <w:style w:type="paragraph" w:customStyle="1" w:styleId="Warning">
    <w:name w:val="Warning"/>
    <w:basedOn w:val="BodyText"/>
    <w:rsid w:val="00F731A8"/>
    <w:pPr>
      <w:shd w:val="clear" w:color="auto" w:fill="D9D9D9"/>
      <w:tabs>
        <w:tab w:val="left" w:pos="992"/>
      </w:tabs>
      <w:ind w:left="119" w:right="119"/>
    </w:pPr>
    <w:rPr>
      <w:sz w:val="20"/>
    </w:rPr>
  </w:style>
  <w:style w:type="paragraph" w:customStyle="1" w:styleId="MarginIcons">
    <w:name w:val="Margin Icons"/>
    <w:basedOn w:val="BodyText"/>
    <w:rsid w:val="00F731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31A8"/>
    <w:rPr>
      <w:rFonts w:ascii="Courier New" w:hAnsi="Courier New"/>
    </w:rPr>
  </w:style>
  <w:style w:type="paragraph" w:customStyle="1" w:styleId="NoteBullet">
    <w:name w:val="Note Bullet"/>
    <w:basedOn w:val="Note"/>
    <w:rsid w:val="00F731A8"/>
    <w:pPr>
      <w:tabs>
        <w:tab w:val="clear" w:pos="680"/>
      </w:tabs>
      <w:spacing w:before="60" w:after="60"/>
    </w:pPr>
  </w:style>
  <w:style w:type="paragraph" w:customStyle="1" w:styleId="SubHeading2">
    <w:name w:val="SubHeading2"/>
    <w:basedOn w:val="HeadingBase"/>
    <w:rsid w:val="00F731A8"/>
    <w:pPr>
      <w:spacing w:before="240" w:after="60"/>
    </w:pPr>
    <w:rPr>
      <w:sz w:val="20"/>
    </w:rPr>
  </w:style>
  <w:style w:type="paragraph" w:customStyle="1" w:styleId="SubHeading1">
    <w:name w:val="SubHeading1"/>
    <w:basedOn w:val="HeadingBase"/>
    <w:rsid w:val="00F731A8"/>
    <w:pPr>
      <w:spacing w:before="240" w:after="60"/>
    </w:pPr>
    <w:rPr>
      <w:color w:val="918585"/>
      <w:sz w:val="22"/>
    </w:rPr>
  </w:style>
  <w:style w:type="paragraph" w:customStyle="1" w:styleId="SideHeading">
    <w:name w:val="Side Heading"/>
    <w:basedOn w:val="HeadingBase"/>
    <w:rsid w:val="00F731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31A8"/>
    <w:pPr>
      <w:tabs>
        <w:tab w:val="num" w:pos="360"/>
      </w:tabs>
    </w:pPr>
  </w:style>
  <w:style w:type="paragraph" w:styleId="PlainText">
    <w:name w:val="Plain Text"/>
    <w:basedOn w:val="Normal"/>
    <w:link w:val="PlainTextChar"/>
    <w:rsid w:val="00F731A8"/>
    <w:rPr>
      <w:sz w:val="20"/>
    </w:rPr>
  </w:style>
  <w:style w:type="character" w:customStyle="1" w:styleId="PlainTextChar">
    <w:name w:val="Plain Text Char"/>
    <w:basedOn w:val="DefaultParagraphFont"/>
    <w:link w:val="PlainText"/>
    <w:rsid w:val="00F731A8"/>
    <w:rPr>
      <w:rFonts w:ascii="Courier New" w:eastAsia="Times New Roman" w:hAnsi="Courier New" w:cs="Times New Roman"/>
      <w:sz w:val="20"/>
      <w:szCs w:val="20"/>
      <w:lang w:eastAsia="en-US"/>
    </w:rPr>
  </w:style>
  <w:style w:type="character" w:customStyle="1" w:styleId="MenuOption">
    <w:name w:val="Menu Option"/>
    <w:basedOn w:val="DefaultParagraphFont"/>
    <w:rsid w:val="00F731A8"/>
    <w:rPr>
      <w:b/>
      <w:smallCaps/>
    </w:rPr>
  </w:style>
  <w:style w:type="paragraph" w:customStyle="1" w:styleId="TableListNumber">
    <w:name w:val="Table List Number"/>
    <w:basedOn w:val="ListNumber"/>
    <w:rsid w:val="00F731A8"/>
    <w:pPr>
      <w:numPr>
        <w:numId w:val="0"/>
      </w:numPr>
    </w:pPr>
  </w:style>
  <w:style w:type="paragraph" w:styleId="TOC4">
    <w:name w:val="toc 4"/>
    <w:basedOn w:val="TOCBase"/>
    <w:next w:val="Normal"/>
    <w:semiHidden/>
    <w:rsid w:val="00F731A8"/>
    <w:pPr>
      <w:tabs>
        <w:tab w:val="right" w:leader="dot" w:pos="9071"/>
      </w:tabs>
      <w:ind w:left="1701"/>
    </w:pPr>
  </w:style>
  <w:style w:type="paragraph" w:customStyle="1" w:styleId="ListAlpha">
    <w:name w:val="List Alpha"/>
    <w:basedOn w:val="List"/>
    <w:rsid w:val="00F731A8"/>
    <w:pPr>
      <w:numPr>
        <w:numId w:val="9"/>
      </w:numPr>
    </w:pPr>
  </w:style>
  <w:style w:type="paragraph" w:customStyle="1" w:styleId="ListAlpha2">
    <w:name w:val="List Alpha 2"/>
    <w:basedOn w:val="List2"/>
    <w:rsid w:val="00F731A8"/>
    <w:pPr>
      <w:numPr>
        <w:numId w:val="8"/>
      </w:numPr>
    </w:pPr>
  </w:style>
  <w:style w:type="paragraph" w:styleId="List2">
    <w:name w:val="List 2"/>
    <w:basedOn w:val="BodyText"/>
    <w:rsid w:val="00F731A8"/>
    <w:pPr>
      <w:tabs>
        <w:tab w:val="left" w:pos="680"/>
      </w:tabs>
      <w:spacing w:before="60" w:after="60"/>
      <w:ind w:left="680" w:hanging="340"/>
    </w:pPr>
  </w:style>
  <w:style w:type="paragraph" w:styleId="List3">
    <w:name w:val="List 3"/>
    <w:basedOn w:val="BodyText"/>
    <w:rsid w:val="00F731A8"/>
    <w:pPr>
      <w:tabs>
        <w:tab w:val="left" w:pos="1021"/>
      </w:tabs>
      <w:spacing w:before="60" w:after="60"/>
      <w:ind w:left="1020" w:hanging="340"/>
    </w:pPr>
  </w:style>
  <w:style w:type="paragraph" w:styleId="List4">
    <w:name w:val="List 4"/>
    <w:basedOn w:val="BodyText"/>
    <w:rsid w:val="00F731A8"/>
    <w:pPr>
      <w:tabs>
        <w:tab w:val="left" w:pos="1361"/>
      </w:tabs>
      <w:spacing w:before="60" w:after="60"/>
      <w:ind w:left="1361" w:hanging="340"/>
    </w:pPr>
  </w:style>
  <w:style w:type="paragraph" w:styleId="List5">
    <w:name w:val="List 5"/>
    <w:basedOn w:val="BodyText"/>
    <w:rsid w:val="00F731A8"/>
    <w:pPr>
      <w:tabs>
        <w:tab w:val="left" w:pos="1701"/>
      </w:tabs>
      <w:spacing w:before="60" w:after="60"/>
      <w:ind w:left="1701" w:hanging="340"/>
    </w:pPr>
  </w:style>
  <w:style w:type="paragraph" w:styleId="ListBullet3">
    <w:name w:val="List Bullet 3"/>
    <w:basedOn w:val="List3"/>
    <w:rsid w:val="00F731A8"/>
    <w:pPr>
      <w:numPr>
        <w:numId w:val="14"/>
      </w:numPr>
      <w:tabs>
        <w:tab w:val="clear" w:pos="1021"/>
      </w:tabs>
      <w:ind w:left="1037" w:hanging="357"/>
    </w:pPr>
  </w:style>
  <w:style w:type="paragraph" w:styleId="ListBullet4">
    <w:name w:val="List Bullet 4"/>
    <w:basedOn w:val="List4"/>
    <w:rsid w:val="00F731A8"/>
    <w:pPr>
      <w:numPr>
        <w:numId w:val="3"/>
      </w:numPr>
      <w:tabs>
        <w:tab w:val="clear" w:pos="1361"/>
      </w:tabs>
    </w:pPr>
  </w:style>
  <w:style w:type="paragraph" w:styleId="ListBullet5">
    <w:name w:val="List Bullet 5"/>
    <w:basedOn w:val="List5"/>
    <w:rsid w:val="00F731A8"/>
    <w:pPr>
      <w:numPr>
        <w:numId w:val="4"/>
      </w:numPr>
    </w:pPr>
  </w:style>
  <w:style w:type="paragraph" w:styleId="ListContinue2">
    <w:name w:val="List Continue 2"/>
    <w:basedOn w:val="List2"/>
    <w:rsid w:val="00F731A8"/>
    <w:pPr>
      <w:ind w:firstLine="0"/>
    </w:pPr>
  </w:style>
  <w:style w:type="paragraph" w:styleId="ListContinue3">
    <w:name w:val="List Continue 3"/>
    <w:basedOn w:val="List3"/>
    <w:rsid w:val="00F731A8"/>
    <w:pPr>
      <w:ind w:left="1021" w:firstLine="0"/>
    </w:pPr>
  </w:style>
  <w:style w:type="paragraph" w:styleId="ListContinue4">
    <w:name w:val="List Continue 4"/>
    <w:basedOn w:val="List4"/>
    <w:rsid w:val="00F731A8"/>
    <w:pPr>
      <w:ind w:firstLine="0"/>
    </w:pPr>
  </w:style>
  <w:style w:type="paragraph" w:styleId="ListContinue5">
    <w:name w:val="List Continue 5"/>
    <w:basedOn w:val="List5"/>
    <w:rsid w:val="00F731A8"/>
    <w:pPr>
      <w:ind w:firstLine="0"/>
    </w:pPr>
  </w:style>
  <w:style w:type="paragraph" w:styleId="ListNumber3">
    <w:name w:val="List Number 3"/>
    <w:basedOn w:val="List3"/>
    <w:rsid w:val="00F731A8"/>
    <w:pPr>
      <w:numPr>
        <w:numId w:val="5"/>
      </w:numPr>
    </w:pPr>
  </w:style>
  <w:style w:type="paragraph" w:styleId="ListNumber4">
    <w:name w:val="List Number 4"/>
    <w:basedOn w:val="List4"/>
    <w:rsid w:val="00F731A8"/>
    <w:pPr>
      <w:numPr>
        <w:numId w:val="6"/>
      </w:numPr>
    </w:pPr>
  </w:style>
  <w:style w:type="paragraph" w:styleId="ListNumber5">
    <w:name w:val="List Number 5"/>
    <w:basedOn w:val="List5"/>
    <w:rsid w:val="00F731A8"/>
    <w:pPr>
      <w:numPr>
        <w:numId w:val="7"/>
      </w:numPr>
    </w:pPr>
  </w:style>
  <w:style w:type="paragraph" w:styleId="BlockText">
    <w:name w:val="Block Text"/>
    <w:basedOn w:val="Normal"/>
    <w:rsid w:val="00F731A8"/>
    <w:pPr>
      <w:spacing w:after="120"/>
      <w:ind w:left="1440" w:right="1440"/>
    </w:pPr>
  </w:style>
  <w:style w:type="character" w:customStyle="1" w:styleId="Subscript">
    <w:name w:val="Subscript"/>
    <w:basedOn w:val="DefaultParagraphFont"/>
    <w:rsid w:val="00F731A8"/>
    <w:rPr>
      <w:sz w:val="16"/>
      <w:vertAlign w:val="subscript"/>
    </w:rPr>
  </w:style>
  <w:style w:type="character" w:customStyle="1" w:styleId="Superscript">
    <w:name w:val="Superscript"/>
    <w:basedOn w:val="DefaultParagraphFont"/>
    <w:rsid w:val="00F731A8"/>
    <w:rPr>
      <w:sz w:val="16"/>
      <w:vertAlign w:val="superscript"/>
    </w:rPr>
  </w:style>
  <w:style w:type="character" w:customStyle="1" w:styleId="Symbols">
    <w:name w:val="Symbols"/>
    <w:basedOn w:val="DefaultParagraphFont"/>
    <w:rsid w:val="00F731A8"/>
    <w:rPr>
      <w:rFonts w:ascii="Symbol" w:hAnsi="Symbol"/>
    </w:rPr>
  </w:style>
  <w:style w:type="character" w:customStyle="1" w:styleId="MenuOptions">
    <w:name w:val="Menu Options"/>
    <w:basedOn w:val="DefaultParagraphFont"/>
    <w:rsid w:val="00F731A8"/>
    <w:rPr>
      <w:rFonts w:ascii="Arial Narrow" w:hAnsi="Arial Narrow"/>
      <w:smallCaps/>
    </w:rPr>
  </w:style>
  <w:style w:type="character" w:customStyle="1" w:styleId="Buttons">
    <w:name w:val="Buttons"/>
    <w:basedOn w:val="DefaultParagraphFont"/>
    <w:rsid w:val="00F731A8"/>
    <w:rPr>
      <w:b/>
    </w:rPr>
  </w:style>
  <w:style w:type="character" w:customStyle="1" w:styleId="Underlined">
    <w:name w:val="Underlined"/>
    <w:basedOn w:val="DefaultParagraphFont"/>
    <w:rsid w:val="00F731A8"/>
    <w:rPr>
      <w:u w:val="single"/>
    </w:rPr>
  </w:style>
  <w:style w:type="paragraph" w:customStyle="1" w:styleId="TableBodyTextRight">
    <w:name w:val="Table Body Text Right"/>
    <w:basedOn w:val="TableBodyText"/>
    <w:rsid w:val="00F731A8"/>
    <w:pPr>
      <w:widowControl w:val="0"/>
      <w:autoSpaceDE w:val="0"/>
      <w:autoSpaceDN w:val="0"/>
      <w:adjustRightInd w:val="0"/>
      <w:jc w:val="right"/>
    </w:pPr>
    <w:rPr>
      <w:rFonts w:cs="Arial"/>
      <w:szCs w:val="18"/>
    </w:rPr>
  </w:style>
  <w:style w:type="paragraph" w:customStyle="1" w:styleId="CopyrightText">
    <w:name w:val="Copyright Text"/>
    <w:basedOn w:val="BodyText"/>
    <w:rsid w:val="00F731A8"/>
    <w:rPr>
      <w:sz w:val="18"/>
    </w:rPr>
  </w:style>
  <w:style w:type="paragraph" w:customStyle="1" w:styleId="BodySmallRight">
    <w:name w:val="Body Small Right"/>
    <w:basedOn w:val="BodyTextRight"/>
    <w:rsid w:val="00F731A8"/>
    <w:rPr>
      <w:sz w:val="18"/>
      <w:szCs w:val="18"/>
    </w:rPr>
  </w:style>
  <w:style w:type="paragraph" w:customStyle="1" w:styleId="MarginEdition">
    <w:name w:val="Margin Edition"/>
    <w:basedOn w:val="MarginNote"/>
    <w:rsid w:val="00F731A8"/>
    <w:pPr>
      <w:spacing w:before="0" w:after="0"/>
    </w:pPr>
    <w:rPr>
      <w:rFonts w:ascii="Times New Roman" w:hAnsi="Times New Roman"/>
      <w:color w:val="999999"/>
    </w:rPr>
  </w:style>
  <w:style w:type="paragraph" w:customStyle="1" w:styleId="Spacer">
    <w:name w:val="Spacer"/>
    <w:basedOn w:val="Normal"/>
    <w:rsid w:val="00F731A8"/>
    <w:rPr>
      <w:sz w:val="2"/>
      <w:szCs w:val="2"/>
    </w:rPr>
  </w:style>
  <w:style w:type="character" w:customStyle="1" w:styleId="Small">
    <w:name w:val="Small"/>
    <w:basedOn w:val="DefaultParagraphFont"/>
    <w:rsid w:val="00F731A8"/>
    <w:rPr>
      <w:sz w:val="16"/>
    </w:rPr>
  </w:style>
  <w:style w:type="paragraph" w:customStyle="1" w:styleId="WideTable">
    <w:name w:val="Wide Table"/>
    <w:basedOn w:val="Normal"/>
    <w:rsid w:val="00F731A8"/>
    <w:pPr>
      <w:ind w:left="-1418"/>
    </w:pPr>
    <w:rPr>
      <w:sz w:val="2"/>
      <w:szCs w:val="2"/>
    </w:rPr>
  </w:style>
  <w:style w:type="character" w:styleId="PageNumber">
    <w:name w:val="page number"/>
    <w:basedOn w:val="DefaultParagraphFont"/>
    <w:rsid w:val="00F731A8"/>
  </w:style>
  <w:style w:type="paragraph" w:styleId="Quote">
    <w:name w:val="Quote"/>
    <w:basedOn w:val="Heading1"/>
    <w:link w:val="QuoteChar"/>
    <w:qFormat/>
    <w:rsid w:val="00F731A8"/>
    <w:rPr>
      <w:b w:val="0"/>
      <w:sz w:val="72"/>
      <w:szCs w:val="72"/>
      <w:lang w:val="en-NZ"/>
    </w:rPr>
  </w:style>
  <w:style w:type="character" w:customStyle="1" w:styleId="QuoteChar">
    <w:name w:val="Quote Char"/>
    <w:basedOn w:val="DefaultParagraphFont"/>
    <w:link w:val="Quote"/>
    <w:rsid w:val="00F731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31A8"/>
    <w:pPr>
      <w:pageBreakBefore/>
    </w:pPr>
  </w:style>
  <w:style w:type="paragraph" w:customStyle="1" w:styleId="Border">
    <w:name w:val="Border"/>
    <w:basedOn w:val="Normal"/>
    <w:qFormat/>
    <w:rsid w:val="00F731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31A8"/>
    <w:rPr>
      <w:b/>
      <w:bCs/>
      <w:i/>
      <w:iCs/>
      <w:color w:val="auto"/>
    </w:rPr>
  </w:style>
  <w:style w:type="paragraph" w:styleId="IntenseQuote">
    <w:name w:val="Intense Quote"/>
    <w:basedOn w:val="Normal"/>
    <w:next w:val="Normal"/>
    <w:link w:val="IntenseQuoteChar"/>
    <w:uiPriority w:val="30"/>
    <w:qFormat/>
    <w:rsid w:val="00F731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31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31A8"/>
    <w:rPr>
      <w:smallCaps/>
      <w:color w:val="auto"/>
      <w:u w:val="single"/>
    </w:rPr>
  </w:style>
  <w:style w:type="character" w:styleId="IntenseReference">
    <w:name w:val="Intense Reference"/>
    <w:basedOn w:val="DefaultParagraphFont"/>
    <w:uiPriority w:val="32"/>
    <w:qFormat/>
    <w:rsid w:val="00F731A8"/>
    <w:rPr>
      <w:b/>
      <w:bCs/>
      <w:smallCaps/>
      <w:color w:val="auto"/>
      <w:spacing w:val="5"/>
      <w:u w:val="single"/>
    </w:rPr>
  </w:style>
  <w:style w:type="paragraph" w:customStyle="1" w:styleId="2ColumnHeading">
    <w:name w:val="2Column Heading"/>
    <w:basedOn w:val="BodyText"/>
    <w:qFormat/>
    <w:rsid w:val="00F731A8"/>
    <w:pPr>
      <w:spacing w:after="60"/>
      <w:ind w:left="-2268"/>
    </w:pPr>
    <w:rPr>
      <w:b/>
    </w:rPr>
  </w:style>
  <w:style w:type="paragraph" w:customStyle="1" w:styleId="Heading1TOC">
    <w:name w:val="Heading1 TOC"/>
    <w:basedOn w:val="Normal"/>
    <w:qFormat/>
    <w:rsid w:val="00F731A8"/>
    <w:pPr>
      <w:spacing w:before="240" w:after="120"/>
    </w:pPr>
    <w:rPr>
      <w:rFonts w:ascii="Times New Roman" w:hAnsi="Times New Roman"/>
      <w:b/>
      <w:sz w:val="32"/>
    </w:rPr>
  </w:style>
  <w:style w:type="paragraph" w:customStyle="1" w:styleId="Heading2TOC">
    <w:name w:val="Heading2 TOC"/>
    <w:basedOn w:val="Normal"/>
    <w:qFormat/>
    <w:rsid w:val="00F731A8"/>
    <w:pPr>
      <w:spacing w:before="240" w:after="60"/>
    </w:pPr>
    <w:rPr>
      <w:rFonts w:ascii="Times New Roman" w:hAnsi="Times New Roman"/>
      <w:b/>
      <w:sz w:val="28"/>
    </w:rPr>
  </w:style>
  <w:style w:type="character" w:customStyle="1" w:styleId="Underline">
    <w:name w:val="Underline"/>
    <w:basedOn w:val="DefaultParagraphFont"/>
    <w:qFormat/>
    <w:rsid w:val="00F731A8"/>
    <w:rPr>
      <w:u w:val="single"/>
    </w:rPr>
  </w:style>
  <w:style w:type="character" w:customStyle="1" w:styleId="BoldandItalics">
    <w:name w:val="Bold and Italics"/>
    <w:qFormat/>
    <w:rsid w:val="00F731A8"/>
    <w:rPr>
      <w:b/>
      <w:i/>
      <w:u w:val="none"/>
    </w:rPr>
  </w:style>
  <w:style w:type="paragraph" w:styleId="BalloonText">
    <w:name w:val="Balloon Text"/>
    <w:basedOn w:val="Normal"/>
    <w:link w:val="BalloonTextChar"/>
    <w:rsid w:val="00F731A8"/>
    <w:rPr>
      <w:rFonts w:ascii="Tahoma" w:hAnsi="Tahoma" w:cs="Tahoma"/>
      <w:sz w:val="16"/>
      <w:szCs w:val="16"/>
    </w:rPr>
  </w:style>
  <w:style w:type="character" w:customStyle="1" w:styleId="BalloonTextChar">
    <w:name w:val="Balloon Text Char"/>
    <w:basedOn w:val="DefaultParagraphFont"/>
    <w:link w:val="BalloonText"/>
    <w:rsid w:val="00F731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31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31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31A8"/>
    <w:rPr>
      <w:b/>
      <w:color w:val="660033"/>
      <w:spacing w:val="0"/>
    </w:rPr>
  </w:style>
  <w:style w:type="paragraph" w:customStyle="1" w:styleId="Nameditemlist">
    <w:name w:val="Named item list"/>
    <w:basedOn w:val="BodyText"/>
    <w:qFormat/>
    <w:rsid w:val="00F731A8"/>
    <w:pPr>
      <w:tabs>
        <w:tab w:val="left" w:pos="2835"/>
      </w:tabs>
      <w:ind w:left="2835" w:hanging="2835"/>
    </w:pPr>
  </w:style>
  <w:style w:type="paragraph" w:customStyle="1" w:styleId="BodyTextnopadding">
    <w:name w:val="Body Text no padding"/>
    <w:basedOn w:val="BodyText"/>
    <w:qFormat/>
    <w:rsid w:val="00F731A8"/>
    <w:pPr>
      <w:spacing w:before="0" w:after="0"/>
    </w:pPr>
  </w:style>
  <w:style w:type="paragraph" w:customStyle="1" w:styleId="BodyTextBold">
    <w:name w:val="Body Text Bold"/>
    <w:basedOn w:val="BodyText"/>
    <w:qFormat/>
    <w:rsid w:val="00F731A8"/>
    <w:rPr>
      <w:b/>
    </w:rPr>
  </w:style>
  <w:style w:type="character" w:styleId="Hyperlink">
    <w:name w:val="Hyperlink"/>
    <w:basedOn w:val="DefaultParagraphFont"/>
    <w:uiPriority w:val="99"/>
    <w:unhideWhenUsed/>
    <w:rsid w:val="00316B3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1605</Words>
  <Characters>10403</Characters>
  <Application>Microsoft Office Word</Application>
  <DocSecurity>0</DocSecurity>
  <Lines>358</Lines>
  <Paragraphs>230</Paragraphs>
  <ScaleCrop>false</ScaleCrop>
  <Company>Author-it Software Corporation Ltd.</Company>
  <LinksUpToDate>false</LinksUpToDate>
  <CharactersWithSpaces>11778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MSFSL5003 Conserve heritage leadlight and stained glass</dc:title>
  <dc:subject>Approved</dc:subject>
  <dc:creator>Skills Insight</dc:creator>
  <cp:keywords>Release: 1</cp:keywords>
  <dc:description>Review Date: 12 April 2008</dc:description>
  <cp:lastModifiedBy>HSD_TPCMSd.prod</cp:lastModifiedBy>
  <cp:revision>3</cp:revision>
  <dcterms:created xsi:type="dcterms:W3CDTF">2025-03-02T01:50:00Z</dcterms:created>
  <dcterms:modified xsi:type="dcterms:W3CDTF">2025-03-02T01:50:00Z</dcterms:modified>
</cp:coreProperties>
</file>