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4D87" w:rsidP="00C04D87">
      <w:pPr>
        <w:pStyle w:val="Title"/>
      </w:pPr>
      <w:r>
        <w:fldChar w:fldCharType="begin"/>
      </w:r>
      <w:r>
        <w:instrText xml:space="preserve"> TITLE   \* MERGEFORMAT </w:instrText>
      </w:r>
      <w:r>
        <w:fldChar w:fldCharType="separate"/>
      </w:r>
      <w:r>
        <w:t>MSFSL5002 Remove heritage leadlight and stained glass</w:t>
      </w:r>
      <w:r>
        <w:fldChar w:fldCharType="end"/>
      </w:r>
    </w:p>
    <w:p w:rsidR="00C04D87" w:rsidP="00C04D87">
      <w:pPr>
        <w:pStyle w:val="Version"/>
        <w:sectPr w:rsidSect="00E138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3865" w:rsidP="00E13865">
      <w:pPr>
        <w:pStyle w:val="SuperHeading"/>
      </w:pPr>
      <w:r w:rsidRPr="00E13865">
        <w:t>MSFSL5002 Remove heritage leadlight and stained glass</w:t>
      </w:r>
    </w:p>
    <w:p w:rsidR="00000000" w:rsidRPr="00E13865" w:rsidP="00E13865">
      <w:pPr>
        <w:pStyle w:val="Heading1"/>
      </w:pPr>
      <w:bookmarkStart w:id="1" w:name="O_621559"/>
      <w:bookmarkEnd w:id="1"/>
      <w:r w:rsidRPr="00E13865">
        <w:t>Modification History</w:t>
      </w:r>
    </w:p>
    <w:p w:rsidR="00000000" w:rsidRPr="00E13865" w:rsidP="00E13865">
      <w:pPr>
        <w:pStyle w:val="BodyText"/>
      </w:pPr>
      <w:r w:rsidRPr="00E13865">
        <w:t>Release 1 - New unit of competency</w:t>
      </w:r>
    </w:p>
    <w:p w:rsidR="00000000" w:rsidRPr="00E13865" w:rsidP="00E13865">
      <w:pPr>
        <w:pStyle w:val="AllowPageBreak"/>
      </w:pPr>
    </w:p>
    <w:p w:rsidR="00000000" w:rsidRPr="00E13865" w:rsidP="00E13865">
      <w:pPr>
        <w:pStyle w:val="Heading1"/>
      </w:pPr>
      <w:bookmarkStart w:id="2" w:name="O_621567"/>
      <w:bookmarkEnd w:id="2"/>
      <w:r w:rsidRPr="00E13865">
        <w:t>Application</w:t>
      </w:r>
    </w:p>
    <w:p w:rsidR="00000000" w:rsidRPr="00E13865" w:rsidP="00E13865">
      <w:pPr>
        <w:pStyle w:val="BodyText"/>
      </w:pPr>
      <w:r w:rsidRPr="00E13865">
        <w:t>This unit of competency covers removing heritage leadlight and stained glass panels in order to conserve them.</w:t>
      </w:r>
    </w:p>
    <w:p w:rsidR="00000000" w:rsidRPr="00E13865" w:rsidP="00E13865">
      <w:pPr>
        <w:pStyle w:val="BodyText"/>
      </w:pPr>
    </w:p>
    <w:p w:rsidR="00000000" w:rsidRPr="00E13865" w:rsidP="00E13865">
      <w:pPr>
        <w:pStyle w:val="BodyText"/>
      </w:pPr>
      <w:r w:rsidRPr="00E13865">
        <w:t>Licensing, legislative or certification requirement</w:t>
      </w:r>
      <w:r w:rsidRPr="00E13865">
        <w:t>s may apply to this unit and relevant state/territory and local government agencies should be consulted to determine any necessary certification or licensing for undertaking glass and glazing work. Access to construction sites requires certification of gen</w:t>
      </w:r>
      <w:r w:rsidRPr="00E13865">
        <w:t xml:space="preserve">eral induction training specified by the </w:t>
      </w:r>
      <w:r w:rsidRPr="00E13865">
        <w:rPr>
          <w:rStyle w:val="Emphasis"/>
        </w:rPr>
        <w:t>National Code of Practice for Induction for Construction Work (ASCC 2007)</w:t>
      </w:r>
      <w:r w:rsidRPr="00E13865">
        <w:t>.</w:t>
      </w:r>
    </w:p>
    <w:p w:rsidR="00000000" w:rsidRPr="00E13865" w:rsidP="00E13865">
      <w:pPr>
        <w:pStyle w:val="AllowPageBreak"/>
      </w:pPr>
    </w:p>
    <w:p w:rsidR="00000000" w:rsidRPr="00E13865" w:rsidP="00E13865">
      <w:pPr>
        <w:pStyle w:val="Heading1"/>
      </w:pPr>
      <w:bookmarkStart w:id="3" w:name="O_621566"/>
      <w:bookmarkEnd w:id="3"/>
      <w:r w:rsidRPr="00E13865">
        <w:t>Pre-requisite Unit</w:t>
      </w:r>
    </w:p>
    <w:p w:rsidR="00000000" w:rsidRPr="00E13865" w:rsidP="00E13865">
      <w:pPr>
        <w:pStyle w:val="Heading1"/>
      </w:pPr>
      <w:bookmarkStart w:id="4" w:name="O_621565"/>
      <w:bookmarkEnd w:id="4"/>
      <w:r w:rsidRPr="00E13865">
        <w:t>Competency Field</w:t>
      </w:r>
    </w:p>
    <w:p w:rsidR="00000000" w:rsidRPr="00E13865" w:rsidP="00E13865">
      <w:pPr>
        <w:pStyle w:val="Heading1"/>
      </w:pPr>
      <w:bookmarkStart w:id="5" w:name="O_621564"/>
      <w:bookmarkEnd w:id="5"/>
      <w:r w:rsidRPr="00E13865">
        <w:t>Unit Sector</w:t>
      </w:r>
    </w:p>
    <w:p w:rsidR="00000000" w:rsidRPr="00E13865" w:rsidP="00E13865">
      <w:pPr>
        <w:pStyle w:val="BodyText"/>
      </w:pPr>
      <w:r w:rsidRPr="00E13865">
        <w:t>Leadlight and Stained Glass</w:t>
      </w:r>
    </w:p>
    <w:p w:rsidR="00000000" w:rsidRPr="00E13865" w:rsidP="00E13865">
      <w:pPr>
        <w:pStyle w:val="AllowPageBreak"/>
      </w:pPr>
    </w:p>
    <w:p w:rsidR="00000000" w:rsidRPr="00E13865" w:rsidP="00E13865">
      <w:pPr>
        <w:pStyle w:val="Heading1"/>
      </w:pPr>
      <w:bookmarkStart w:id="6" w:name="O_621563"/>
      <w:bookmarkEnd w:id="6"/>
      <w:r w:rsidRPr="00E13865">
        <w:t>Elements and Performance Criteria</w:t>
      </w:r>
    </w:p>
    <w:tbl>
      <w:tblPr>
        <w:tblW w:w="0" w:type="auto"/>
        <w:tblLayout w:type="fixed"/>
        <w:tblCellMar>
          <w:left w:w="62" w:type="dxa"/>
          <w:right w:w="62" w:type="dxa"/>
        </w:tblCellMar>
        <w:tblLook w:val="0000"/>
      </w:tblPr>
      <w:tblGrid>
        <w:gridCol w:w="630"/>
        <w:gridCol w:w="2129"/>
        <w:gridCol w:w="751"/>
        <w:gridCol w:w="5670"/>
      </w:tblGrid>
      <w:tr w:rsidTr="00E13865">
        <w:tblPrEx>
          <w:tblW w:w="0" w:type="auto"/>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E13865">
            <w:pPr>
              <w:pStyle w:val="BodyText"/>
              <w:rPr>
                <w:lang w:val="en-NZ"/>
              </w:rPr>
            </w:pPr>
            <w:r w:rsidRPr="00E13865">
              <w:t>Elements describe the essential outcomes.</w:t>
            </w:r>
          </w:p>
        </w:tc>
        <w:tc>
          <w:tcPr>
            <w:tcW w:w="6421" w:type="dxa"/>
            <w:gridSpan w:val="2"/>
            <w:tcBorders>
              <w:top w:val="nil"/>
              <w:left w:val="nil"/>
              <w:bottom w:val="nil"/>
              <w:right w:val="nil"/>
            </w:tcBorders>
            <w:tcMar>
              <w:top w:w="0" w:type="dxa"/>
              <w:left w:w="62" w:type="dxa"/>
              <w:bottom w:w="0" w:type="dxa"/>
              <w:right w:w="62" w:type="dxa"/>
            </w:tcMar>
          </w:tcPr>
          <w:p w:rsidR="00000000" w:rsidP="00E13865">
            <w:pPr>
              <w:pStyle w:val="BodyText"/>
              <w:rPr>
                <w:lang w:val="en-NZ"/>
              </w:rPr>
            </w:pPr>
            <w:r w:rsidRPr="00E13865">
              <w:t>Performance criteria describe the performance needed to demonstrate achievement of the element.</w:t>
            </w:r>
          </w:p>
        </w:tc>
      </w:tr>
      <w:tr w:rsidTr="00E13865">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E13865">
            <w:pPr>
              <w:pStyle w:val="BodyText"/>
              <w:rPr>
                <w:lang w:val="en-NZ"/>
              </w:rPr>
            </w:pPr>
            <w:r w:rsidRPr="00E13865">
              <w:t>1</w:t>
            </w:r>
          </w:p>
        </w:tc>
        <w:tc>
          <w:tcPr>
            <w:tcW w:w="2129" w:type="dxa"/>
            <w:tcBorders>
              <w:top w:val="nil"/>
              <w:left w:val="nil"/>
              <w:bottom w:val="nil"/>
              <w:right w:val="nil"/>
            </w:tcBorders>
            <w:tcMar>
              <w:top w:w="0" w:type="dxa"/>
              <w:left w:w="62" w:type="dxa"/>
              <w:bottom w:w="0" w:type="dxa"/>
              <w:right w:w="62" w:type="dxa"/>
            </w:tcMar>
          </w:tcPr>
          <w:p w:rsidR="00000000" w:rsidP="00E13865">
            <w:pPr>
              <w:pStyle w:val="BodyText"/>
              <w:rPr>
                <w:lang w:val="en-NZ"/>
              </w:rPr>
            </w:pPr>
            <w:r w:rsidRPr="00E13865">
              <w:t>Identify panel removal requirements</w:t>
            </w:r>
          </w:p>
        </w:tc>
        <w:tc>
          <w:tcPr>
            <w:tcW w:w="751" w:type="dxa"/>
            <w:tcBorders>
              <w:top w:val="nil"/>
              <w:left w:val="nil"/>
              <w:bottom w:val="nil"/>
              <w:right w:val="nil"/>
            </w:tcBorders>
            <w:tcMar>
              <w:top w:w="0" w:type="dxa"/>
              <w:left w:w="62" w:type="dxa"/>
              <w:bottom w:w="0" w:type="dxa"/>
              <w:right w:w="62" w:type="dxa"/>
            </w:tcMar>
          </w:tcPr>
          <w:p w:rsidR="00000000" w:rsidP="00E13865">
            <w:pPr>
              <w:pStyle w:val="BodyText"/>
              <w:rPr>
                <w:lang w:val="en-NZ"/>
              </w:rPr>
            </w:pPr>
            <w:r w:rsidRPr="00E13865">
              <w:t>1.1</w:t>
            </w:r>
          </w:p>
        </w:tc>
        <w:tc>
          <w:tcPr>
            <w:tcW w:w="5670" w:type="dxa"/>
            <w:tcBorders>
              <w:top w:val="nil"/>
              <w:left w:val="nil"/>
              <w:bottom w:val="nil"/>
              <w:right w:val="nil"/>
            </w:tcBorders>
            <w:tcMar>
              <w:top w:w="0" w:type="dxa"/>
              <w:left w:w="62" w:type="dxa"/>
              <w:bottom w:w="0" w:type="dxa"/>
              <w:right w:w="62" w:type="dxa"/>
            </w:tcMar>
          </w:tcPr>
          <w:p w:rsidR="00000000" w:rsidP="00E13865">
            <w:pPr>
              <w:pStyle w:val="BodyText"/>
              <w:rPr>
                <w:lang w:val="en-NZ"/>
              </w:rPr>
            </w:pPr>
            <w:r w:rsidRPr="00E13865">
              <w:t>Applicable work health and safety (WHS), legislative and organisational requirements relevant to heritage leadlight and stained glass operations are verified and complied with</w:t>
            </w:r>
          </w:p>
        </w:tc>
      </w:tr>
      <w:tr w:rsidTr="00E13865">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E13865">
            <w:pPr>
              <w:pStyle w:val="BodyText"/>
              <w:rPr>
                <w:lang w:val="en-NZ"/>
              </w:rPr>
            </w:pPr>
            <w:r w:rsidRPr="00E13865">
              <w:t>1.2</w:t>
            </w:r>
          </w:p>
        </w:tc>
        <w:tc>
          <w:tcPr>
            <w:tcW w:w="5670" w:type="dxa"/>
            <w:tcBorders>
              <w:top w:val="nil"/>
              <w:left w:val="nil"/>
              <w:bottom w:val="nil"/>
              <w:right w:val="nil"/>
            </w:tcBorders>
            <w:tcMar>
              <w:top w:w="0" w:type="dxa"/>
              <w:left w:w="62" w:type="dxa"/>
              <w:bottom w:w="0" w:type="dxa"/>
              <w:right w:w="62" w:type="dxa"/>
            </w:tcMar>
          </w:tcPr>
          <w:p w:rsidR="00000000" w:rsidP="00E13865">
            <w:pPr>
              <w:pStyle w:val="BodyText"/>
              <w:rPr>
                <w:lang w:val="en-NZ"/>
              </w:rPr>
            </w:pPr>
            <w:r w:rsidRPr="00E13865">
              <w:t>Purpose of the removal is established confirmed and clarified with approp</w:t>
            </w:r>
            <w:r w:rsidRPr="00E13865">
              <w:t xml:space="preserve">riate personnel </w:t>
            </w:r>
          </w:p>
        </w:tc>
      </w:tr>
      <w:tr w:rsidTr="00E13865">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E13865">
            <w:pPr>
              <w:pStyle w:val="BodyText"/>
              <w:rPr>
                <w:lang w:val="en-NZ"/>
              </w:rPr>
            </w:pPr>
            <w:r w:rsidRPr="00E13865">
              <w:t>1.3</w:t>
            </w:r>
          </w:p>
        </w:tc>
        <w:tc>
          <w:tcPr>
            <w:tcW w:w="5670" w:type="dxa"/>
            <w:tcBorders>
              <w:top w:val="nil"/>
              <w:left w:val="nil"/>
              <w:bottom w:val="nil"/>
              <w:right w:val="nil"/>
            </w:tcBorders>
            <w:tcMar>
              <w:top w:w="0" w:type="dxa"/>
              <w:left w:w="62" w:type="dxa"/>
              <w:bottom w:w="0" w:type="dxa"/>
              <w:right w:w="62" w:type="dxa"/>
            </w:tcMar>
          </w:tcPr>
          <w:p w:rsidR="00000000" w:rsidP="00E13865">
            <w:pPr>
              <w:pStyle w:val="BodyText"/>
              <w:rPr>
                <w:lang w:val="en-NZ"/>
              </w:rPr>
            </w:pPr>
            <w:r w:rsidRPr="00E13865">
              <w:t xml:space="preserve">Removal outcomes are identified and confirmed </w:t>
            </w:r>
          </w:p>
        </w:tc>
      </w:tr>
      <w:tr w:rsidTr="00E13865">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E13865">
            <w:pPr>
              <w:pStyle w:val="BodyText"/>
              <w:rPr>
                <w:lang w:val="en-NZ"/>
              </w:rPr>
            </w:pPr>
            <w:r w:rsidRPr="00E13865">
              <w:t>2</w:t>
            </w:r>
          </w:p>
        </w:tc>
        <w:tc>
          <w:tcPr>
            <w:tcW w:w="2129" w:type="dxa"/>
            <w:tcBorders>
              <w:top w:val="nil"/>
              <w:left w:val="nil"/>
              <w:bottom w:val="nil"/>
              <w:right w:val="nil"/>
            </w:tcBorders>
            <w:tcMar>
              <w:top w:w="0" w:type="dxa"/>
              <w:left w:w="62" w:type="dxa"/>
              <w:bottom w:w="0" w:type="dxa"/>
              <w:right w:w="62" w:type="dxa"/>
            </w:tcMar>
          </w:tcPr>
          <w:p w:rsidR="00000000" w:rsidP="00E13865">
            <w:pPr>
              <w:pStyle w:val="BodyText"/>
              <w:rPr>
                <w:lang w:val="en-NZ"/>
              </w:rPr>
            </w:pPr>
            <w:r w:rsidRPr="00E13865">
              <w:t>Plan removal processes</w:t>
            </w:r>
          </w:p>
        </w:tc>
        <w:tc>
          <w:tcPr>
            <w:tcW w:w="751" w:type="dxa"/>
            <w:tcBorders>
              <w:top w:val="nil"/>
              <w:left w:val="nil"/>
              <w:bottom w:val="nil"/>
              <w:right w:val="nil"/>
            </w:tcBorders>
            <w:tcMar>
              <w:top w:w="0" w:type="dxa"/>
              <w:left w:w="62" w:type="dxa"/>
              <w:bottom w:w="0" w:type="dxa"/>
              <w:right w:w="62" w:type="dxa"/>
            </w:tcMar>
          </w:tcPr>
          <w:p w:rsidR="00000000" w:rsidP="00E13865">
            <w:pPr>
              <w:pStyle w:val="BodyText"/>
              <w:rPr>
                <w:lang w:val="en-NZ"/>
              </w:rPr>
            </w:pPr>
            <w:r w:rsidRPr="00E13865">
              <w:t>2.1</w:t>
            </w:r>
          </w:p>
        </w:tc>
        <w:tc>
          <w:tcPr>
            <w:tcW w:w="5670" w:type="dxa"/>
            <w:tcBorders>
              <w:top w:val="nil"/>
              <w:left w:val="nil"/>
              <w:bottom w:val="nil"/>
              <w:right w:val="nil"/>
            </w:tcBorders>
            <w:tcMar>
              <w:top w:w="0" w:type="dxa"/>
              <w:left w:w="62" w:type="dxa"/>
              <w:bottom w:w="0" w:type="dxa"/>
              <w:right w:w="62" w:type="dxa"/>
            </w:tcMar>
          </w:tcPr>
          <w:p w:rsidR="00000000" w:rsidP="00E13865">
            <w:pPr>
              <w:pStyle w:val="BodyText"/>
              <w:rPr>
                <w:lang w:val="en-NZ"/>
              </w:rPr>
            </w:pPr>
            <w:r w:rsidRPr="00E13865">
              <w:t>Location of the leadlight and stained glass panel to be removed is identified and observed</w:t>
            </w:r>
          </w:p>
        </w:tc>
      </w:tr>
      <w:tr w:rsidTr="00E13865">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E13865">
            <w:pPr>
              <w:pStyle w:val="BodyText"/>
              <w:rPr>
                <w:lang w:val="en-NZ"/>
              </w:rPr>
            </w:pPr>
            <w:r w:rsidRPr="00E13865">
              <w:t>2.2</w:t>
            </w:r>
          </w:p>
        </w:tc>
        <w:tc>
          <w:tcPr>
            <w:tcW w:w="5670" w:type="dxa"/>
            <w:tcBorders>
              <w:top w:val="nil"/>
              <w:left w:val="nil"/>
              <w:bottom w:val="nil"/>
              <w:right w:val="nil"/>
            </w:tcBorders>
            <w:tcMar>
              <w:top w:w="0" w:type="dxa"/>
              <w:left w:w="62" w:type="dxa"/>
              <w:bottom w:w="0" w:type="dxa"/>
              <w:right w:w="62" w:type="dxa"/>
            </w:tcMar>
          </w:tcPr>
          <w:p w:rsidR="00000000" w:rsidP="00E13865">
            <w:pPr>
              <w:pStyle w:val="BodyText"/>
              <w:rPr>
                <w:lang w:val="en-NZ"/>
              </w:rPr>
            </w:pPr>
            <w:r w:rsidRPr="00E13865">
              <w:t xml:space="preserve">Removal sequence is identified and a work plan is </w:t>
            </w:r>
            <w:r w:rsidRPr="00E13865">
              <w:t xml:space="preserve">developed </w:t>
            </w:r>
          </w:p>
        </w:tc>
      </w:tr>
      <w:tr w:rsidTr="00E13865">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E13865">
            <w:pPr>
              <w:pStyle w:val="BodyText"/>
              <w:rPr>
                <w:lang w:val="en-NZ"/>
              </w:rPr>
            </w:pPr>
            <w:r w:rsidRPr="00E13865">
              <w:t>2.3</w:t>
            </w:r>
          </w:p>
        </w:tc>
        <w:tc>
          <w:tcPr>
            <w:tcW w:w="5670" w:type="dxa"/>
            <w:tcBorders>
              <w:top w:val="nil"/>
              <w:left w:val="nil"/>
              <w:bottom w:val="nil"/>
              <w:right w:val="nil"/>
            </w:tcBorders>
            <w:tcMar>
              <w:top w:w="0" w:type="dxa"/>
              <w:left w:w="62" w:type="dxa"/>
              <w:bottom w:w="0" w:type="dxa"/>
              <w:right w:w="62" w:type="dxa"/>
            </w:tcMar>
          </w:tcPr>
          <w:p w:rsidR="00000000" w:rsidP="00E13865">
            <w:pPr>
              <w:pStyle w:val="BodyText"/>
              <w:rPr>
                <w:lang w:val="en-NZ"/>
              </w:rPr>
            </w:pPr>
            <w:r w:rsidRPr="00E13865">
              <w:t>Tools and equipment required for the removal are identified</w:t>
            </w:r>
          </w:p>
        </w:tc>
      </w:tr>
      <w:tr w:rsidTr="00E13865">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E13865">
            <w:pPr>
              <w:pStyle w:val="BodyText"/>
              <w:rPr>
                <w:lang w:val="en-NZ"/>
              </w:rPr>
            </w:pPr>
            <w:r w:rsidRPr="00E13865">
              <w:t>2.4</w:t>
            </w:r>
          </w:p>
        </w:tc>
        <w:tc>
          <w:tcPr>
            <w:tcW w:w="5670" w:type="dxa"/>
            <w:tcBorders>
              <w:top w:val="nil"/>
              <w:left w:val="nil"/>
              <w:bottom w:val="nil"/>
              <w:right w:val="nil"/>
            </w:tcBorders>
            <w:tcMar>
              <w:top w:w="0" w:type="dxa"/>
              <w:left w:w="62" w:type="dxa"/>
              <w:bottom w:w="0" w:type="dxa"/>
              <w:right w:w="62" w:type="dxa"/>
            </w:tcMar>
          </w:tcPr>
          <w:p w:rsidR="00000000" w:rsidP="00E13865">
            <w:pPr>
              <w:pStyle w:val="BodyText"/>
              <w:rPr>
                <w:lang w:val="en-NZ"/>
              </w:rPr>
            </w:pPr>
            <w:r w:rsidRPr="00E13865">
              <w:t>Approval of removal plan is obtained as required by agreed procedures</w:t>
            </w:r>
          </w:p>
        </w:tc>
      </w:tr>
      <w:tr w:rsidTr="00E13865">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E13865">
            <w:pPr>
              <w:pStyle w:val="BodyText"/>
              <w:rPr>
                <w:lang w:val="en-NZ"/>
              </w:rPr>
            </w:pPr>
            <w:r w:rsidRPr="00E13865">
              <w:t>3</w:t>
            </w:r>
          </w:p>
        </w:tc>
        <w:tc>
          <w:tcPr>
            <w:tcW w:w="2129" w:type="dxa"/>
            <w:tcBorders>
              <w:top w:val="nil"/>
              <w:left w:val="nil"/>
              <w:bottom w:val="nil"/>
              <w:right w:val="nil"/>
            </w:tcBorders>
            <w:tcMar>
              <w:top w:w="0" w:type="dxa"/>
              <w:left w:w="62" w:type="dxa"/>
              <w:bottom w:w="0" w:type="dxa"/>
              <w:right w:w="62" w:type="dxa"/>
            </w:tcMar>
          </w:tcPr>
          <w:p w:rsidR="00000000" w:rsidP="00E13865">
            <w:pPr>
              <w:pStyle w:val="BodyText"/>
              <w:rPr>
                <w:lang w:val="en-NZ"/>
              </w:rPr>
            </w:pPr>
            <w:r w:rsidRPr="00E13865">
              <w:t>Prepare for removal</w:t>
            </w:r>
          </w:p>
        </w:tc>
        <w:tc>
          <w:tcPr>
            <w:tcW w:w="751" w:type="dxa"/>
            <w:tcBorders>
              <w:top w:val="nil"/>
              <w:left w:val="nil"/>
              <w:bottom w:val="nil"/>
              <w:right w:val="nil"/>
            </w:tcBorders>
            <w:tcMar>
              <w:top w:w="0" w:type="dxa"/>
              <w:left w:w="62" w:type="dxa"/>
              <w:bottom w:w="0" w:type="dxa"/>
              <w:right w:w="62" w:type="dxa"/>
            </w:tcMar>
          </w:tcPr>
          <w:p w:rsidR="00000000" w:rsidP="00E13865">
            <w:pPr>
              <w:pStyle w:val="BodyText"/>
              <w:rPr>
                <w:lang w:val="en-NZ"/>
              </w:rPr>
            </w:pPr>
            <w:r w:rsidRPr="00E13865">
              <w:t>3.1</w:t>
            </w:r>
          </w:p>
        </w:tc>
        <w:tc>
          <w:tcPr>
            <w:tcW w:w="5670" w:type="dxa"/>
            <w:tcBorders>
              <w:top w:val="nil"/>
              <w:left w:val="nil"/>
              <w:bottom w:val="nil"/>
              <w:right w:val="nil"/>
            </w:tcBorders>
            <w:tcMar>
              <w:top w:w="0" w:type="dxa"/>
              <w:left w:w="62" w:type="dxa"/>
              <w:bottom w:w="0" w:type="dxa"/>
              <w:right w:w="62" w:type="dxa"/>
            </w:tcMar>
          </w:tcPr>
          <w:p w:rsidR="00000000" w:rsidP="00E13865">
            <w:pPr>
              <w:pStyle w:val="BodyText"/>
              <w:rPr>
                <w:lang w:val="en-NZ"/>
              </w:rPr>
            </w:pPr>
            <w:r w:rsidRPr="00E13865">
              <w:t>Tools and equipment are assembled, positioned and checked prior to use to ensure they are appropriate for the removal, serviceable and in a safe condition</w:t>
            </w:r>
          </w:p>
        </w:tc>
      </w:tr>
      <w:tr w:rsidTr="00E13865">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E13865">
            <w:pPr>
              <w:pStyle w:val="BodyText"/>
              <w:rPr>
                <w:lang w:val="en-NZ"/>
              </w:rPr>
            </w:pPr>
            <w:r w:rsidRPr="00E13865">
              <w:t>3.2</w:t>
            </w:r>
          </w:p>
        </w:tc>
        <w:tc>
          <w:tcPr>
            <w:tcW w:w="5670" w:type="dxa"/>
            <w:tcBorders>
              <w:top w:val="nil"/>
              <w:left w:val="nil"/>
              <w:bottom w:val="nil"/>
              <w:right w:val="nil"/>
            </w:tcBorders>
            <w:tcMar>
              <w:top w:w="0" w:type="dxa"/>
              <w:left w:w="62" w:type="dxa"/>
              <w:bottom w:w="0" w:type="dxa"/>
              <w:right w:w="62" w:type="dxa"/>
            </w:tcMar>
          </w:tcPr>
          <w:p w:rsidR="00000000" w:rsidP="00E13865">
            <w:pPr>
              <w:pStyle w:val="BodyText"/>
              <w:rPr>
                <w:lang w:val="en-NZ"/>
              </w:rPr>
            </w:pPr>
            <w:r w:rsidRPr="00E13865">
              <w:t xml:space="preserve">Supporting frames and storage materials are prepared and positioned </w:t>
            </w:r>
          </w:p>
        </w:tc>
      </w:tr>
      <w:tr w:rsidTr="00E13865">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E13865">
            <w:pPr>
              <w:pStyle w:val="BodyText"/>
              <w:rPr>
                <w:lang w:val="en-NZ"/>
              </w:rPr>
            </w:pPr>
            <w:r w:rsidRPr="00E13865">
              <w:t>3.3</w:t>
            </w:r>
          </w:p>
        </w:tc>
        <w:tc>
          <w:tcPr>
            <w:tcW w:w="5670" w:type="dxa"/>
            <w:tcBorders>
              <w:top w:val="nil"/>
              <w:left w:val="nil"/>
              <w:bottom w:val="nil"/>
              <w:right w:val="nil"/>
            </w:tcBorders>
            <w:tcMar>
              <w:top w:w="0" w:type="dxa"/>
              <w:left w:w="62" w:type="dxa"/>
              <w:bottom w:w="0" w:type="dxa"/>
              <w:right w:w="62" w:type="dxa"/>
            </w:tcMar>
          </w:tcPr>
          <w:p w:rsidR="00000000" w:rsidP="00E13865">
            <w:pPr>
              <w:pStyle w:val="BodyText"/>
              <w:rPr>
                <w:lang w:val="en-NZ"/>
              </w:rPr>
            </w:pPr>
            <w:r w:rsidRPr="00E13865">
              <w:t>Plans and other do</w:t>
            </w:r>
            <w:r w:rsidRPr="00E13865">
              <w:t>cuments are assembled and positioned to allow for confirmation of the panel structure and placement</w:t>
            </w:r>
          </w:p>
        </w:tc>
      </w:tr>
      <w:tr w:rsidTr="00E13865">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E13865">
            <w:pPr>
              <w:pStyle w:val="BodyText"/>
              <w:rPr>
                <w:lang w:val="en-NZ"/>
              </w:rPr>
            </w:pPr>
            <w:r w:rsidRPr="00E13865">
              <w:t>3.4</w:t>
            </w:r>
          </w:p>
        </w:tc>
        <w:tc>
          <w:tcPr>
            <w:tcW w:w="5670" w:type="dxa"/>
            <w:tcBorders>
              <w:top w:val="nil"/>
              <w:left w:val="nil"/>
              <w:bottom w:val="nil"/>
              <w:right w:val="nil"/>
            </w:tcBorders>
            <w:tcMar>
              <w:top w:w="0" w:type="dxa"/>
              <w:left w:w="62" w:type="dxa"/>
              <w:bottom w:w="0" w:type="dxa"/>
              <w:right w:w="62" w:type="dxa"/>
            </w:tcMar>
          </w:tcPr>
          <w:p w:rsidR="00000000" w:rsidP="00E13865">
            <w:pPr>
              <w:pStyle w:val="BodyText"/>
              <w:rPr>
                <w:lang w:val="en-NZ"/>
              </w:rPr>
            </w:pPr>
            <w:r w:rsidRPr="00E13865">
              <w:t>Photographs are taken of the panel for later reference</w:t>
            </w:r>
          </w:p>
        </w:tc>
      </w:tr>
      <w:tr w:rsidTr="00E13865">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E13865">
            <w:pPr>
              <w:pStyle w:val="BodyText"/>
              <w:rPr>
                <w:lang w:val="en-NZ"/>
              </w:rPr>
            </w:pPr>
            <w:r w:rsidRPr="00E13865">
              <w:t>4</w:t>
            </w:r>
          </w:p>
        </w:tc>
        <w:tc>
          <w:tcPr>
            <w:tcW w:w="2129" w:type="dxa"/>
            <w:tcBorders>
              <w:top w:val="nil"/>
              <w:left w:val="nil"/>
              <w:bottom w:val="nil"/>
              <w:right w:val="nil"/>
            </w:tcBorders>
            <w:tcMar>
              <w:top w:w="0" w:type="dxa"/>
              <w:left w:w="62" w:type="dxa"/>
              <w:bottom w:w="0" w:type="dxa"/>
              <w:right w:w="62" w:type="dxa"/>
            </w:tcMar>
          </w:tcPr>
          <w:p w:rsidR="00000000" w:rsidP="00E13865">
            <w:pPr>
              <w:pStyle w:val="BodyText"/>
              <w:rPr>
                <w:lang w:val="en-NZ"/>
              </w:rPr>
            </w:pPr>
            <w:r w:rsidRPr="00E13865">
              <w:t>Remove the panel</w:t>
            </w:r>
          </w:p>
        </w:tc>
        <w:tc>
          <w:tcPr>
            <w:tcW w:w="751" w:type="dxa"/>
            <w:tcBorders>
              <w:top w:val="nil"/>
              <w:left w:val="nil"/>
              <w:bottom w:val="nil"/>
              <w:right w:val="nil"/>
            </w:tcBorders>
            <w:tcMar>
              <w:top w:w="0" w:type="dxa"/>
              <w:left w:w="62" w:type="dxa"/>
              <w:bottom w:w="0" w:type="dxa"/>
              <w:right w:w="62" w:type="dxa"/>
            </w:tcMar>
          </w:tcPr>
          <w:p w:rsidR="00000000" w:rsidP="00E13865">
            <w:pPr>
              <w:pStyle w:val="BodyText"/>
              <w:rPr>
                <w:lang w:val="en-NZ"/>
              </w:rPr>
            </w:pPr>
            <w:r w:rsidRPr="00E13865">
              <w:t>4.1</w:t>
            </w:r>
          </w:p>
        </w:tc>
        <w:tc>
          <w:tcPr>
            <w:tcW w:w="5670" w:type="dxa"/>
            <w:tcBorders>
              <w:top w:val="nil"/>
              <w:left w:val="nil"/>
              <w:bottom w:val="nil"/>
              <w:right w:val="nil"/>
            </w:tcBorders>
            <w:tcMar>
              <w:top w:w="0" w:type="dxa"/>
              <w:left w:w="62" w:type="dxa"/>
              <w:bottom w:w="0" w:type="dxa"/>
              <w:right w:w="62" w:type="dxa"/>
            </w:tcMar>
          </w:tcPr>
          <w:p w:rsidR="00000000" w:rsidP="00E13865">
            <w:pPr>
              <w:pStyle w:val="BodyText"/>
              <w:rPr>
                <w:lang w:val="en-NZ"/>
              </w:rPr>
            </w:pPr>
            <w:r w:rsidRPr="00E13865">
              <w:t>Supporting frames are secured to the panel</w:t>
            </w:r>
          </w:p>
        </w:tc>
      </w:tr>
      <w:tr w:rsidTr="00E13865">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E13865">
            <w:pPr>
              <w:pStyle w:val="BodyText"/>
              <w:rPr>
                <w:lang w:val="en-NZ"/>
              </w:rPr>
            </w:pPr>
            <w:r w:rsidRPr="00E13865">
              <w:t>4.2</w:t>
            </w:r>
          </w:p>
        </w:tc>
        <w:tc>
          <w:tcPr>
            <w:tcW w:w="5670" w:type="dxa"/>
            <w:tcBorders>
              <w:top w:val="nil"/>
              <w:left w:val="nil"/>
              <w:bottom w:val="nil"/>
              <w:right w:val="nil"/>
            </w:tcBorders>
            <w:tcMar>
              <w:top w:w="0" w:type="dxa"/>
              <w:left w:w="62" w:type="dxa"/>
              <w:bottom w:w="0" w:type="dxa"/>
              <w:right w:w="62" w:type="dxa"/>
            </w:tcMar>
          </w:tcPr>
          <w:p w:rsidR="00000000" w:rsidP="00E13865">
            <w:pPr>
              <w:pStyle w:val="BodyText"/>
              <w:rPr>
                <w:lang w:val="en-NZ"/>
              </w:rPr>
            </w:pPr>
            <w:r w:rsidRPr="00E13865">
              <w:t xml:space="preserve">Panel structural supports are removed and stored </w:t>
            </w:r>
          </w:p>
        </w:tc>
      </w:tr>
      <w:tr w:rsidTr="00E13865">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E13865">
            <w:pPr>
              <w:pStyle w:val="BodyText"/>
              <w:rPr>
                <w:lang w:val="en-NZ"/>
              </w:rPr>
            </w:pPr>
            <w:r w:rsidRPr="00E13865">
              <w:t>4.3</w:t>
            </w:r>
          </w:p>
        </w:tc>
        <w:tc>
          <w:tcPr>
            <w:tcW w:w="5670" w:type="dxa"/>
            <w:tcBorders>
              <w:top w:val="nil"/>
              <w:left w:val="nil"/>
              <w:bottom w:val="nil"/>
              <w:right w:val="nil"/>
            </w:tcBorders>
            <w:tcMar>
              <w:top w:w="0" w:type="dxa"/>
              <w:left w:w="62" w:type="dxa"/>
              <w:bottom w:w="0" w:type="dxa"/>
              <w:right w:w="62" w:type="dxa"/>
            </w:tcMar>
          </w:tcPr>
          <w:p w:rsidR="00000000" w:rsidP="00E13865">
            <w:pPr>
              <w:pStyle w:val="BodyText"/>
              <w:rPr>
                <w:lang w:val="en-NZ"/>
              </w:rPr>
            </w:pPr>
            <w:r w:rsidRPr="00E13865">
              <w:t>Panel is removed and placed in the storage area or crated for transport</w:t>
            </w:r>
          </w:p>
        </w:tc>
      </w:tr>
      <w:tr w:rsidTr="00E13865">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E13865">
            <w:pPr>
              <w:pStyle w:val="BodyText"/>
              <w:rPr>
                <w:lang w:val="en-NZ"/>
              </w:rPr>
            </w:pPr>
            <w:r w:rsidRPr="00E13865">
              <w:t>4.4</w:t>
            </w:r>
          </w:p>
        </w:tc>
        <w:tc>
          <w:tcPr>
            <w:tcW w:w="5670" w:type="dxa"/>
            <w:tcBorders>
              <w:top w:val="nil"/>
              <w:left w:val="nil"/>
              <w:bottom w:val="nil"/>
              <w:right w:val="nil"/>
            </w:tcBorders>
            <w:tcMar>
              <w:top w:w="0" w:type="dxa"/>
              <w:left w:w="62" w:type="dxa"/>
              <w:bottom w:w="0" w:type="dxa"/>
              <w:right w:w="62" w:type="dxa"/>
            </w:tcMar>
          </w:tcPr>
          <w:p w:rsidR="00000000" w:rsidP="00E13865">
            <w:pPr>
              <w:pStyle w:val="BodyText"/>
              <w:rPr>
                <w:lang w:val="en-NZ"/>
              </w:rPr>
            </w:pPr>
            <w:r w:rsidRPr="00E13865">
              <w:t xml:space="preserve">Any structural damage is identified and noted </w:t>
            </w:r>
          </w:p>
        </w:tc>
      </w:tr>
      <w:tr w:rsidTr="00E13865">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E13865">
            <w:pPr>
              <w:pStyle w:val="BodyText"/>
              <w:rPr>
                <w:lang w:val="en-NZ"/>
              </w:rPr>
            </w:pPr>
            <w:r w:rsidRPr="00E13865">
              <w:t>5</w:t>
            </w:r>
          </w:p>
        </w:tc>
        <w:tc>
          <w:tcPr>
            <w:tcW w:w="2129" w:type="dxa"/>
            <w:tcBorders>
              <w:top w:val="nil"/>
              <w:left w:val="nil"/>
              <w:bottom w:val="nil"/>
              <w:right w:val="nil"/>
            </w:tcBorders>
            <w:tcMar>
              <w:top w:w="0" w:type="dxa"/>
              <w:left w:w="62" w:type="dxa"/>
              <w:bottom w:w="0" w:type="dxa"/>
              <w:right w:w="62" w:type="dxa"/>
            </w:tcMar>
          </w:tcPr>
          <w:p w:rsidR="00000000" w:rsidP="00E13865">
            <w:pPr>
              <w:pStyle w:val="BodyText"/>
              <w:rPr>
                <w:lang w:val="en-NZ"/>
              </w:rPr>
            </w:pPr>
            <w:r w:rsidRPr="00E13865">
              <w:t>Finalise and report on the removal</w:t>
            </w:r>
          </w:p>
        </w:tc>
        <w:tc>
          <w:tcPr>
            <w:tcW w:w="751" w:type="dxa"/>
            <w:tcBorders>
              <w:top w:val="nil"/>
              <w:left w:val="nil"/>
              <w:bottom w:val="nil"/>
              <w:right w:val="nil"/>
            </w:tcBorders>
            <w:tcMar>
              <w:top w:w="0" w:type="dxa"/>
              <w:left w:w="62" w:type="dxa"/>
              <w:bottom w:w="0" w:type="dxa"/>
              <w:right w:w="62" w:type="dxa"/>
            </w:tcMar>
          </w:tcPr>
          <w:p w:rsidR="00000000" w:rsidP="00E13865">
            <w:pPr>
              <w:pStyle w:val="BodyText"/>
              <w:rPr>
                <w:lang w:val="en-NZ"/>
              </w:rPr>
            </w:pPr>
            <w:r w:rsidRPr="00E13865">
              <w:t>5.1</w:t>
            </w:r>
          </w:p>
        </w:tc>
        <w:tc>
          <w:tcPr>
            <w:tcW w:w="5670" w:type="dxa"/>
            <w:tcBorders>
              <w:top w:val="nil"/>
              <w:left w:val="nil"/>
              <w:bottom w:val="nil"/>
              <w:right w:val="nil"/>
            </w:tcBorders>
            <w:tcMar>
              <w:top w:w="0" w:type="dxa"/>
              <w:left w:w="62" w:type="dxa"/>
              <w:bottom w:w="0" w:type="dxa"/>
              <w:right w:w="62" w:type="dxa"/>
            </w:tcMar>
          </w:tcPr>
          <w:p w:rsidR="00000000" w:rsidP="00E13865">
            <w:pPr>
              <w:pStyle w:val="BodyText"/>
              <w:rPr>
                <w:lang w:val="en-NZ"/>
              </w:rPr>
            </w:pPr>
            <w:r w:rsidRPr="00E13865">
              <w:t>Removed panel is inspected</w:t>
            </w:r>
          </w:p>
        </w:tc>
      </w:tr>
      <w:tr w:rsidTr="00E13865">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E13865">
            <w:pPr>
              <w:pStyle w:val="BodyText"/>
              <w:rPr>
                <w:lang w:val="en-NZ"/>
              </w:rPr>
            </w:pPr>
            <w:r w:rsidRPr="00E13865">
              <w:t>5.2</w:t>
            </w:r>
          </w:p>
        </w:tc>
        <w:tc>
          <w:tcPr>
            <w:tcW w:w="5670" w:type="dxa"/>
            <w:tcBorders>
              <w:top w:val="nil"/>
              <w:left w:val="nil"/>
              <w:bottom w:val="nil"/>
              <w:right w:val="nil"/>
            </w:tcBorders>
            <w:tcMar>
              <w:top w:w="0" w:type="dxa"/>
              <w:left w:w="62" w:type="dxa"/>
              <w:bottom w:w="0" w:type="dxa"/>
              <w:right w:w="62" w:type="dxa"/>
            </w:tcMar>
          </w:tcPr>
          <w:p w:rsidR="00000000" w:rsidP="00E13865">
            <w:pPr>
              <w:pStyle w:val="BodyText"/>
              <w:rPr>
                <w:lang w:val="en-NZ"/>
              </w:rPr>
            </w:pPr>
            <w:r w:rsidRPr="00E13865">
              <w:t>Tools and equipment are removed</w:t>
            </w:r>
          </w:p>
        </w:tc>
      </w:tr>
      <w:tr w:rsidTr="00E13865">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E13865">
            <w:pPr>
              <w:pStyle w:val="BodyText"/>
              <w:rPr>
                <w:lang w:val="en-NZ"/>
              </w:rPr>
            </w:pPr>
            <w:r w:rsidRPr="00E13865">
              <w:t>5.3</w:t>
            </w:r>
          </w:p>
        </w:tc>
        <w:tc>
          <w:tcPr>
            <w:tcW w:w="5670" w:type="dxa"/>
            <w:tcBorders>
              <w:top w:val="nil"/>
              <w:left w:val="nil"/>
              <w:bottom w:val="nil"/>
              <w:right w:val="nil"/>
            </w:tcBorders>
            <w:tcMar>
              <w:top w:w="0" w:type="dxa"/>
              <w:left w:w="62" w:type="dxa"/>
              <w:bottom w:w="0" w:type="dxa"/>
              <w:right w:w="62" w:type="dxa"/>
            </w:tcMar>
          </w:tcPr>
          <w:p w:rsidR="00000000" w:rsidP="00E13865">
            <w:pPr>
              <w:pStyle w:val="BodyText"/>
              <w:rPr>
                <w:lang w:val="en-NZ"/>
              </w:rPr>
            </w:pPr>
            <w:r w:rsidRPr="00E13865">
              <w:t>Removal area is cleaned and rubbish disposed of</w:t>
            </w:r>
          </w:p>
        </w:tc>
      </w:tr>
      <w:tr w:rsidTr="00E13865">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E13865">
            <w:pPr>
              <w:pStyle w:val="BodyText"/>
              <w:rPr>
                <w:lang w:val="en-NZ"/>
              </w:rPr>
            </w:pPr>
            <w:r w:rsidRPr="00E13865">
              <w:t>5.4</w:t>
            </w:r>
          </w:p>
        </w:tc>
        <w:tc>
          <w:tcPr>
            <w:tcW w:w="5670" w:type="dxa"/>
            <w:tcBorders>
              <w:top w:val="nil"/>
              <w:left w:val="nil"/>
              <w:bottom w:val="nil"/>
              <w:right w:val="nil"/>
            </w:tcBorders>
            <w:tcMar>
              <w:top w:w="0" w:type="dxa"/>
              <w:left w:w="62" w:type="dxa"/>
              <w:bottom w:w="0" w:type="dxa"/>
              <w:right w:w="62" w:type="dxa"/>
            </w:tcMar>
          </w:tcPr>
          <w:p w:rsidR="00000000" w:rsidRPr="00E13865" w:rsidP="00E13865">
            <w:pPr>
              <w:pStyle w:val="BodyText"/>
            </w:pPr>
            <w:r w:rsidRPr="00E13865">
              <w:t>Removal report is prepared and provided</w:t>
            </w:r>
          </w:p>
        </w:tc>
      </w:tr>
    </w:tbl>
    <w:p w:rsidR="00000000" w:rsidRPr="00E13865" w:rsidP="00E13865">
      <w:pPr>
        <w:pStyle w:val="BodyText"/>
      </w:pPr>
    </w:p>
    <w:p w:rsidR="00000000" w:rsidRPr="00E13865" w:rsidP="00E13865">
      <w:pPr>
        <w:pStyle w:val="AllowPageBreak"/>
      </w:pPr>
    </w:p>
    <w:p w:rsidR="00000000" w:rsidRPr="00E13865" w:rsidP="00E13865">
      <w:pPr>
        <w:pStyle w:val="Heading1"/>
      </w:pPr>
      <w:bookmarkStart w:id="7" w:name="O_621562"/>
      <w:bookmarkEnd w:id="7"/>
      <w:r w:rsidRPr="00E13865">
        <w:t>Foundation Skills</w:t>
      </w:r>
    </w:p>
    <w:p w:rsidR="00000000" w:rsidRPr="00E13865" w:rsidP="00E13865">
      <w:pPr>
        <w:pStyle w:val="BodyText"/>
      </w:pPr>
      <w:r w:rsidRPr="00E13865">
        <w:t>Foundation skills essential to performance are explicit in the performance criter</w:t>
      </w:r>
      <w:r w:rsidRPr="00E13865">
        <w:t>ia of this unit of competency. Detail on appropriate performance levels for each furnishing unit of competency in reading, writing, oral communication and numeracy utilising the Australian Core Skills Framework (ACSF) are provided in the Furnishing Trainin</w:t>
      </w:r>
      <w:r w:rsidRPr="00E13865">
        <w:t>g Package Implementation Guide.</w:t>
      </w:r>
    </w:p>
    <w:p w:rsidR="00000000" w:rsidRPr="00E13865" w:rsidP="00E13865">
      <w:pPr>
        <w:pStyle w:val="AllowPageBreak"/>
      </w:pPr>
    </w:p>
    <w:p w:rsidR="00000000" w:rsidRPr="00E13865" w:rsidP="00E13865">
      <w:pPr>
        <w:pStyle w:val="Heading1"/>
      </w:pPr>
      <w:bookmarkStart w:id="8" w:name="O_621561"/>
      <w:bookmarkEnd w:id="8"/>
      <w:r w:rsidRPr="00E13865">
        <w:t>Range of Conditions</w:t>
      </w:r>
    </w:p>
    <w:tbl>
      <w:tblPr>
        <w:tblW w:w="0" w:type="auto"/>
        <w:tblLayout w:type="fixed"/>
        <w:tblCellMar>
          <w:left w:w="62" w:type="dxa"/>
          <w:right w:w="62" w:type="dxa"/>
        </w:tblCellMar>
        <w:tblLook w:val="0000"/>
      </w:tblPr>
      <w:tblGrid>
        <w:gridCol w:w="2760"/>
        <w:gridCol w:w="6312"/>
      </w:tblGrid>
      <w:tr w:rsidTr="00E1386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13865">
            <w:pPr>
              <w:pStyle w:val="BodyText"/>
              <w:rPr>
                <w:lang w:val="en-NZ"/>
              </w:rPr>
            </w:pPr>
            <w:r w:rsidRPr="00E13865">
              <w:t>Specifies different work environments and conditions that may affect performance. Essential operating conditions that may be present (depending on the work situation, needs of the candida</w:t>
            </w:r>
            <w:r w:rsidRPr="00E13865">
              <w:t>te, accessibility of the item, and local industry and regional contexts) are included. Range is restricted to essential operating conditions and any other variables essential to the work environment.</w:t>
            </w:r>
          </w:p>
        </w:tc>
      </w:tr>
      <w:tr w:rsidTr="00E1386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13865">
            <w:pPr>
              <w:pStyle w:val="BodyText"/>
              <w:rPr>
                <w:lang w:val="en-NZ"/>
              </w:rPr>
            </w:pPr>
            <w:r w:rsidRPr="00E13865">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E13865" w:rsidP="00E13865">
            <w:pPr>
              <w:pStyle w:val="ListBullet"/>
            </w:pPr>
            <w:r w:rsidRPr="00E13865">
              <w:t xml:space="preserve">WHS requirements, including legislation, building codes, material safety management systems, hazardous and dangerous goods codes, and local safe operating procedures or equivalent </w:t>
            </w:r>
          </w:p>
          <w:p w:rsidR="00000000" w:rsidRPr="00E13865" w:rsidP="00E13865">
            <w:pPr>
              <w:pStyle w:val="ListBullet"/>
            </w:pPr>
            <w:r w:rsidRPr="00E13865">
              <w:t>work is carried out in accordance with legislative obligations, environment</w:t>
            </w:r>
            <w:r w:rsidRPr="00E13865">
              <w:t>al legislation, relevant health regulations, manual handling procedures and organisation insurance requirements</w:t>
            </w:r>
          </w:p>
          <w:p w:rsidR="00000000" w:rsidP="00E13865">
            <w:pPr>
              <w:pStyle w:val="ListBullet"/>
              <w:rPr>
                <w:lang w:val="en-NZ"/>
              </w:rPr>
            </w:pPr>
            <w:r w:rsidRPr="00E13865">
              <w:t>work requires individuals to demonstrate discretion and apply judgement and problem solving to complex issues</w:t>
            </w:r>
          </w:p>
        </w:tc>
      </w:tr>
      <w:tr w:rsidTr="00E1386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13865">
            <w:pPr>
              <w:pStyle w:val="BodyText"/>
              <w:rPr>
                <w:lang w:val="en-NZ"/>
              </w:rPr>
            </w:pPr>
            <w:r w:rsidRPr="00E13865">
              <w:rPr>
                <w:rStyle w:val="SpecialBold"/>
              </w:rPr>
              <w:t>Appropriate personnel include:</w:t>
            </w:r>
          </w:p>
        </w:tc>
        <w:tc>
          <w:tcPr>
            <w:tcW w:w="6312" w:type="dxa"/>
            <w:tcBorders>
              <w:top w:val="nil"/>
              <w:left w:val="nil"/>
              <w:bottom w:val="nil"/>
              <w:right w:val="nil"/>
            </w:tcBorders>
            <w:tcMar>
              <w:top w:w="0" w:type="dxa"/>
              <w:left w:w="62" w:type="dxa"/>
              <w:bottom w:w="0" w:type="dxa"/>
              <w:right w:w="62" w:type="dxa"/>
            </w:tcMar>
          </w:tcPr>
          <w:p w:rsidR="00000000" w:rsidRPr="00E13865" w:rsidP="00E13865">
            <w:pPr>
              <w:pStyle w:val="ListBullet"/>
            </w:pPr>
            <w:r w:rsidRPr="00E13865">
              <w:t>c</w:t>
            </w:r>
            <w:r w:rsidRPr="00E13865">
              <w:t>lients</w:t>
            </w:r>
          </w:p>
          <w:p w:rsidR="00000000" w:rsidRPr="00E13865" w:rsidP="00E13865">
            <w:pPr>
              <w:pStyle w:val="ListBullet"/>
            </w:pPr>
            <w:r w:rsidRPr="00E13865">
              <w:t xml:space="preserve">architects </w:t>
            </w:r>
          </w:p>
          <w:p w:rsidR="00000000" w:rsidRPr="00E13865" w:rsidP="00E13865">
            <w:pPr>
              <w:pStyle w:val="ListBullet"/>
            </w:pPr>
            <w:r w:rsidRPr="00E13865">
              <w:t>engineers</w:t>
            </w:r>
          </w:p>
          <w:p w:rsidR="00000000" w:rsidRPr="00E13865" w:rsidP="00E13865">
            <w:pPr>
              <w:pStyle w:val="ListBullet"/>
            </w:pPr>
            <w:r w:rsidRPr="00E13865">
              <w:t xml:space="preserve">construction supervisors </w:t>
            </w:r>
          </w:p>
          <w:p w:rsidR="00000000" w:rsidRPr="00E13865" w:rsidP="00E13865">
            <w:pPr>
              <w:pStyle w:val="ListBullet"/>
            </w:pPr>
            <w:r w:rsidRPr="00E13865">
              <w:t xml:space="preserve">members of heritage committees </w:t>
            </w:r>
          </w:p>
          <w:p w:rsidR="00000000" w:rsidRPr="00E13865" w:rsidP="00E13865">
            <w:pPr>
              <w:pStyle w:val="ListBullet"/>
            </w:pPr>
            <w:r w:rsidRPr="00E13865">
              <w:t xml:space="preserve">government agencies </w:t>
            </w:r>
          </w:p>
          <w:p w:rsidR="00000000" w:rsidP="00E13865">
            <w:pPr>
              <w:pStyle w:val="ListBullet"/>
              <w:rPr>
                <w:lang w:val="en-NZ"/>
              </w:rPr>
            </w:pPr>
            <w:r w:rsidRPr="00E13865">
              <w:t xml:space="preserve">other specialist artisans, such as stonemasons </w:t>
            </w:r>
          </w:p>
        </w:tc>
      </w:tr>
      <w:tr w:rsidTr="00E1386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13865">
            <w:pPr>
              <w:pStyle w:val="BodyText"/>
              <w:rPr>
                <w:lang w:val="en-NZ"/>
              </w:rPr>
            </w:pPr>
            <w:r w:rsidRPr="00E13865">
              <w:rPr>
                <w:rStyle w:val="SpecialBold"/>
              </w:rPr>
              <w:t>Removal outcomes include:</w:t>
            </w:r>
          </w:p>
        </w:tc>
        <w:tc>
          <w:tcPr>
            <w:tcW w:w="6312" w:type="dxa"/>
            <w:tcBorders>
              <w:top w:val="nil"/>
              <w:left w:val="nil"/>
              <w:bottom w:val="nil"/>
              <w:right w:val="nil"/>
            </w:tcBorders>
            <w:tcMar>
              <w:top w:w="0" w:type="dxa"/>
              <w:left w:w="62" w:type="dxa"/>
              <w:bottom w:w="0" w:type="dxa"/>
              <w:right w:w="62" w:type="dxa"/>
            </w:tcMar>
          </w:tcPr>
          <w:p w:rsidR="00000000" w:rsidRPr="00E13865" w:rsidP="00E13865">
            <w:pPr>
              <w:pStyle w:val="ListBullet"/>
            </w:pPr>
            <w:r w:rsidRPr="00E13865">
              <w:t xml:space="preserve">the requirement to dismantle, move and store leadlight or stained glass panels prior to any conservation work being undertaken </w:t>
            </w:r>
          </w:p>
          <w:p w:rsidR="00000000" w:rsidP="00E13865">
            <w:pPr>
              <w:pStyle w:val="BodyText"/>
              <w:rPr>
                <w:lang w:val="en-NZ"/>
              </w:rPr>
            </w:pPr>
            <w:r w:rsidRPr="00E13865">
              <w:t>dismantling the panel without further damage as it is being removed</w:t>
            </w:r>
          </w:p>
        </w:tc>
      </w:tr>
      <w:tr w:rsidTr="00E1386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13865">
            <w:pPr>
              <w:pStyle w:val="BodyText"/>
              <w:rPr>
                <w:lang w:val="en-NZ"/>
              </w:rPr>
            </w:pPr>
            <w:r w:rsidRPr="00E13865">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E13865" w:rsidP="00E13865">
            <w:pPr>
              <w:pStyle w:val="ListBullet"/>
            </w:pPr>
            <w:r w:rsidRPr="00E13865">
              <w:t xml:space="preserve">work benches </w:t>
            </w:r>
          </w:p>
          <w:p w:rsidR="00000000" w:rsidRPr="00E13865" w:rsidP="00E13865">
            <w:pPr>
              <w:pStyle w:val="ListBullet"/>
            </w:pPr>
            <w:r w:rsidRPr="00E13865">
              <w:t>ladders and sca</w:t>
            </w:r>
            <w:r w:rsidRPr="00E13865">
              <w:t xml:space="preserve">ffolding </w:t>
            </w:r>
          </w:p>
          <w:p w:rsidR="00000000" w:rsidRPr="00E13865" w:rsidP="00E13865">
            <w:pPr>
              <w:pStyle w:val="ListBullet"/>
            </w:pPr>
            <w:r w:rsidRPr="00E13865">
              <w:t xml:space="preserve">cameras </w:t>
            </w:r>
          </w:p>
          <w:p w:rsidR="00000000" w:rsidRPr="00E13865" w:rsidP="00E13865">
            <w:pPr>
              <w:pStyle w:val="ListBullet"/>
            </w:pPr>
            <w:r w:rsidRPr="00E13865">
              <w:t xml:space="preserve">magnifying glasses </w:t>
            </w:r>
          </w:p>
          <w:p w:rsidR="00000000" w:rsidRPr="00E13865" w:rsidP="00E13865">
            <w:pPr>
              <w:pStyle w:val="ListBullet"/>
            </w:pPr>
            <w:r w:rsidRPr="00E13865">
              <w:t xml:space="preserve">lights </w:t>
            </w:r>
          </w:p>
          <w:p w:rsidR="00000000" w:rsidRPr="00E13865" w:rsidP="00E13865">
            <w:pPr>
              <w:pStyle w:val="ListBullet"/>
            </w:pPr>
            <w:r w:rsidRPr="00E13865">
              <w:t xml:space="preserve">cranes </w:t>
            </w:r>
          </w:p>
          <w:p w:rsidR="00000000" w:rsidRPr="00E13865" w:rsidP="00E13865">
            <w:pPr>
              <w:pStyle w:val="ListBullet"/>
            </w:pPr>
            <w:r w:rsidRPr="00E13865">
              <w:t xml:space="preserve">forklifts </w:t>
            </w:r>
          </w:p>
          <w:p w:rsidR="00000000" w:rsidP="00E13865">
            <w:pPr>
              <w:pStyle w:val="ListBullet"/>
              <w:rPr>
                <w:lang w:val="en-NZ"/>
              </w:rPr>
            </w:pPr>
            <w:r w:rsidRPr="00E13865">
              <w:t>general hand tools</w:t>
            </w:r>
          </w:p>
        </w:tc>
      </w:tr>
      <w:tr w:rsidTr="00E1386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13865">
            <w:pPr>
              <w:pStyle w:val="BodyText"/>
              <w:rPr>
                <w:lang w:val="en-NZ"/>
              </w:rPr>
            </w:pPr>
            <w:r w:rsidRPr="00E13865">
              <w:rPr>
                <w:rStyle w:val="SpecialBold"/>
              </w:rPr>
              <w:t>Supporting frames include:</w:t>
            </w:r>
          </w:p>
        </w:tc>
        <w:tc>
          <w:tcPr>
            <w:tcW w:w="6312" w:type="dxa"/>
            <w:tcBorders>
              <w:top w:val="nil"/>
              <w:left w:val="nil"/>
              <w:bottom w:val="nil"/>
              <w:right w:val="nil"/>
            </w:tcBorders>
            <w:tcMar>
              <w:top w:w="0" w:type="dxa"/>
              <w:left w:w="62" w:type="dxa"/>
              <w:bottom w:w="0" w:type="dxa"/>
              <w:right w:w="62" w:type="dxa"/>
            </w:tcMar>
          </w:tcPr>
          <w:p w:rsidR="00000000" w:rsidP="00E13865">
            <w:pPr>
              <w:pStyle w:val="ListBullet"/>
              <w:rPr>
                <w:lang w:val="en-NZ"/>
              </w:rPr>
            </w:pPr>
            <w:r w:rsidRPr="00E13865">
              <w:t>wooden or metal frames that support the leadlight and stained glass panels during the removal process</w:t>
            </w:r>
          </w:p>
        </w:tc>
      </w:tr>
      <w:tr w:rsidTr="00E1386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13865">
            <w:pPr>
              <w:pStyle w:val="BodyText"/>
              <w:rPr>
                <w:lang w:val="en-NZ"/>
              </w:rPr>
            </w:pPr>
            <w:r w:rsidRPr="00E13865">
              <w:rPr>
                <w:rStyle w:val="SpecialBold"/>
              </w:rPr>
              <w:t>Storage materials include:</w:t>
            </w:r>
          </w:p>
        </w:tc>
        <w:tc>
          <w:tcPr>
            <w:tcW w:w="6312" w:type="dxa"/>
            <w:tcBorders>
              <w:top w:val="nil"/>
              <w:left w:val="nil"/>
              <w:bottom w:val="nil"/>
              <w:right w:val="nil"/>
            </w:tcBorders>
            <w:tcMar>
              <w:top w:w="0" w:type="dxa"/>
              <w:left w:w="62" w:type="dxa"/>
              <w:bottom w:w="0" w:type="dxa"/>
              <w:right w:w="62" w:type="dxa"/>
            </w:tcMar>
          </w:tcPr>
          <w:p w:rsidR="00000000" w:rsidRPr="00E13865" w:rsidP="00E13865">
            <w:pPr>
              <w:pStyle w:val="ListBullet"/>
            </w:pPr>
            <w:r w:rsidRPr="00E13865">
              <w:t xml:space="preserve">boxes </w:t>
            </w:r>
          </w:p>
          <w:p w:rsidR="00000000" w:rsidP="00E13865">
            <w:pPr>
              <w:pStyle w:val="BodyText"/>
              <w:rPr>
                <w:lang w:val="en-NZ"/>
              </w:rPr>
            </w:pPr>
            <w:r w:rsidRPr="00E13865">
              <w:t>frames, crates and other materials used to store and protect the leadlight and stained glass panel following removal and while being transported</w:t>
            </w:r>
          </w:p>
        </w:tc>
      </w:tr>
      <w:tr w:rsidTr="00E1386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13865">
            <w:pPr>
              <w:pStyle w:val="BodyText"/>
              <w:rPr>
                <w:lang w:val="en-NZ"/>
              </w:rPr>
            </w:pPr>
            <w:r w:rsidRPr="00E13865">
              <w:rPr>
                <w:rStyle w:val="SpecialBold"/>
              </w:rPr>
              <w:t>Plans and other documents include:</w:t>
            </w:r>
          </w:p>
        </w:tc>
        <w:tc>
          <w:tcPr>
            <w:tcW w:w="6312" w:type="dxa"/>
            <w:tcBorders>
              <w:top w:val="nil"/>
              <w:left w:val="nil"/>
              <w:bottom w:val="nil"/>
              <w:right w:val="nil"/>
            </w:tcBorders>
            <w:tcMar>
              <w:top w:w="0" w:type="dxa"/>
              <w:left w:w="62" w:type="dxa"/>
              <w:bottom w:w="0" w:type="dxa"/>
              <w:right w:w="62" w:type="dxa"/>
            </w:tcMar>
          </w:tcPr>
          <w:p w:rsidR="00000000" w:rsidRPr="00E13865" w:rsidP="00E13865">
            <w:pPr>
              <w:pStyle w:val="ListBullet"/>
            </w:pPr>
            <w:r w:rsidRPr="00E13865">
              <w:t>original architectural plans</w:t>
            </w:r>
          </w:p>
          <w:p w:rsidR="00000000" w:rsidRPr="00E13865" w:rsidP="00E13865">
            <w:pPr>
              <w:pStyle w:val="ListBullet"/>
            </w:pPr>
            <w:r w:rsidRPr="00E13865">
              <w:t xml:space="preserve">original drawings, cartoons and cut lines of </w:t>
            </w:r>
            <w:r w:rsidRPr="00E13865">
              <w:t>the glass panel</w:t>
            </w:r>
          </w:p>
          <w:p w:rsidR="00000000" w:rsidP="00E13865">
            <w:pPr>
              <w:pStyle w:val="ListBullet"/>
              <w:rPr>
                <w:lang w:val="en-NZ"/>
              </w:rPr>
            </w:pPr>
            <w:r w:rsidRPr="00E13865">
              <w:t>historical photographs, charcoal rubbings and sketches</w:t>
            </w:r>
          </w:p>
        </w:tc>
      </w:tr>
      <w:tr w:rsidTr="00E1386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13865">
            <w:pPr>
              <w:pStyle w:val="BodyText"/>
              <w:rPr>
                <w:lang w:val="en-NZ"/>
              </w:rPr>
            </w:pPr>
            <w:r w:rsidRPr="00E13865">
              <w:rPr>
                <w:rStyle w:val="SpecialBold"/>
              </w:rPr>
              <w:t>Removal report includes:</w:t>
            </w:r>
          </w:p>
        </w:tc>
        <w:tc>
          <w:tcPr>
            <w:tcW w:w="6312" w:type="dxa"/>
            <w:tcBorders>
              <w:top w:val="nil"/>
              <w:left w:val="nil"/>
              <w:bottom w:val="nil"/>
              <w:right w:val="nil"/>
            </w:tcBorders>
            <w:tcMar>
              <w:top w:w="0" w:type="dxa"/>
              <w:left w:w="62" w:type="dxa"/>
              <w:bottom w:w="0" w:type="dxa"/>
              <w:right w:w="62" w:type="dxa"/>
            </w:tcMar>
          </w:tcPr>
          <w:p w:rsidR="00000000" w:rsidRPr="00E13865" w:rsidP="00E13865">
            <w:pPr>
              <w:pStyle w:val="ListBullet"/>
            </w:pPr>
            <w:r w:rsidRPr="00E13865">
              <w:t xml:space="preserve">the extent of any damage to the surrounding building or fixture </w:t>
            </w:r>
          </w:p>
          <w:p w:rsidR="00000000" w:rsidRPr="00E13865" w:rsidP="00E13865">
            <w:pPr>
              <w:pStyle w:val="ListBullet"/>
            </w:pPr>
            <w:r w:rsidRPr="00E13865">
              <w:t xml:space="preserve">any damage to the panel </w:t>
            </w:r>
          </w:p>
          <w:p w:rsidR="00000000" w:rsidP="00E13865">
            <w:pPr>
              <w:pStyle w:val="ListBullet"/>
              <w:rPr>
                <w:lang w:val="en-NZ"/>
              </w:rPr>
            </w:pPr>
            <w:r w:rsidRPr="00E13865">
              <w:t xml:space="preserve">any recommendations as to future requirements </w:t>
            </w:r>
          </w:p>
        </w:tc>
      </w:tr>
      <w:tr w:rsidTr="00E1386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E13865" w:rsidP="00E13865">
            <w:pPr>
              <w:pStyle w:val="BodyText"/>
            </w:pPr>
            <w:r w:rsidRPr="00E13865">
              <w:rPr>
                <w:rStyle w:val="SpecialBold"/>
              </w:rPr>
              <w:t>Personal protective equipment includes:</w:t>
            </w:r>
          </w:p>
          <w:p w:rsidR="00000000" w:rsidP="00E13865">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E13865" w:rsidP="00E13865">
            <w:pPr>
              <w:pStyle w:val="ListBullet"/>
            </w:pPr>
            <w:r w:rsidRPr="00E13865">
              <w:t>that prescribed under legislation, regulation and enterprise policies and practices:</w:t>
            </w:r>
          </w:p>
          <w:p w:rsidR="00000000" w:rsidRPr="00E13865" w:rsidP="00E13865">
            <w:pPr>
              <w:pStyle w:val="ListBullet2"/>
            </w:pPr>
            <w:r w:rsidRPr="00E13865">
              <w:t>gauntlets</w:t>
            </w:r>
          </w:p>
          <w:p w:rsidR="00000000" w:rsidRPr="00E13865" w:rsidP="00E13865">
            <w:pPr>
              <w:pStyle w:val="ListBullet2"/>
            </w:pPr>
            <w:r w:rsidRPr="00E13865">
              <w:t>gloves</w:t>
            </w:r>
          </w:p>
          <w:p w:rsidR="00000000" w:rsidRPr="00E13865" w:rsidP="00E13865">
            <w:pPr>
              <w:pStyle w:val="ListBullet2"/>
            </w:pPr>
            <w:r w:rsidRPr="00E13865">
              <w:t>safety glasses</w:t>
            </w:r>
          </w:p>
          <w:p w:rsidR="00000000" w:rsidRPr="00E13865" w:rsidP="00E13865">
            <w:pPr>
              <w:pStyle w:val="ListBullet2"/>
            </w:pPr>
            <w:r w:rsidRPr="00E13865">
              <w:t>hard hats</w:t>
            </w:r>
          </w:p>
          <w:p w:rsidR="00000000" w:rsidRPr="00E13865" w:rsidP="00E13865">
            <w:pPr>
              <w:pStyle w:val="ListBullet2"/>
            </w:pPr>
            <w:r w:rsidRPr="00E13865">
              <w:t>safety footwear</w:t>
            </w:r>
          </w:p>
          <w:p w:rsidR="00000000" w:rsidP="00E13865">
            <w:pPr>
              <w:pStyle w:val="ListBullet2"/>
              <w:rPr>
                <w:lang w:val="en-NZ"/>
              </w:rPr>
            </w:pPr>
            <w:r w:rsidRPr="00E13865">
              <w:t>aprons and overalls</w:t>
            </w:r>
          </w:p>
        </w:tc>
      </w:tr>
      <w:tr w:rsidTr="00E1386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13865">
            <w:pPr>
              <w:pStyle w:val="BodyText"/>
              <w:rPr>
                <w:lang w:val="en-NZ"/>
              </w:rPr>
            </w:pPr>
            <w:r w:rsidRPr="00E13865">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E13865" w:rsidP="00E13865">
            <w:pPr>
              <w:pStyle w:val="ListBullet"/>
            </w:pPr>
            <w:r w:rsidRPr="00E13865">
              <w:t xml:space="preserve">workplace procedures relating to the use of tools and equipment and personal protective equipment </w:t>
            </w:r>
          </w:p>
          <w:p w:rsidR="00000000" w:rsidRPr="00E13865" w:rsidP="00E13865">
            <w:pPr>
              <w:pStyle w:val="ListBullet"/>
            </w:pPr>
            <w:r w:rsidRPr="00E13865">
              <w:t xml:space="preserve">work instructions, including job sheets, cutting lists, plans, drawings and designs </w:t>
            </w:r>
          </w:p>
          <w:p w:rsidR="00000000" w:rsidRPr="00E13865" w:rsidP="00E13865">
            <w:pPr>
              <w:pStyle w:val="ListBullet"/>
            </w:pPr>
            <w:r w:rsidRPr="00E13865">
              <w:t xml:space="preserve">workplace procedures relating to reporting and communication </w:t>
            </w:r>
          </w:p>
          <w:p w:rsidR="00000000" w:rsidRPr="00E13865" w:rsidP="00E13865">
            <w:pPr>
              <w:pStyle w:val="ListBullet"/>
            </w:pPr>
            <w:r w:rsidRPr="00E13865">
              <w:t>manufacturer specifications and operational procedures</w:t>
            </w:r>
          </w:p>
        </w:tc>
      </w:tr>
    </w:tbl>
    <w:p w:rsidR="00000000" w:rsidRPr="00E13865" w:rsidP="00E13865">
      <w:pPr>
        <w:pStyle w:val="BodyText"/>
      </w:pPr>
    </w:p>
    <w:p w:rsidR="00000000" w:rsidRPr="00E13865" w:rsidP="00E13865">
      <w:pPr>
        <w:pStyle w:val="AllowPageBreak"/>
      </w:pPr>
    </w:p>
    <w:p w:rsidR="00000000" w:rsidRPr="00E13865" w:rsidP="00E13865">
      <w:pPr>
        <w:pStyle w:val="Heading1"/>
      </w:pPr>
      <w:bookmarkStart w:id="9" w:name="O_621560"/>
      <w:bookmarkEnd w:id="9"/>
      <w:r w:rsidRPr="00E13865">
        <w:t>Unit Mapping Information</w:t>
      </w:r>
    </w:p>
    <w:p w:rsidR="00000000" w:rsidRPr="00E13865" w:rsidP="00E13865">
      <w:pPr>
        <w:pStyle w:val="BodyText"/>
      </w:pPr>
      <w:r w:rsidRPr="00E13865">
        <w:t>Supersedes and is equivalent to LMFSL5002B Remove heritage leadlight and stained glass.</w:t>
      </w:r>
    </w:p>
    <w:p w:rsidR="00000000" w:rsidRPr="00E13865" w:rsidP="00E13865">
      <w:pPr>
        <w:pStyle w:val="AllowPageBreak"/>
      </w:pPr>
    </w:p>
    <w:p w:rsidR="00000000" w:rsidRPr="00E13865" w:rsidP="00E13865">
      <w:pPr>
        <w:pStyle w:val="Heading1"/>
      </w:pPr>
      <w:bookmarkStart w:id="10" w:name="O_621553"/>
      <w:bookmarkEnd w:id="10"/>
      <w:r w:rsidRPr="00E13865">
        <w:t>Links</w:t>
      </w:r>
    </w:p>
    <w:p w:rsidR="00000000" w:rsidRPr="00E13865" w:rsidP="00E13865">
      <w:pPr>
        <w:pStyle w:val="BodyText"/>
      </w:pPr>
      <w:r w:rsidRPr="00E13865">
        <w:t>Companion Volume implementation guides are fou</w:t>
      </w:r>
      <w:r w:rsidRPr="00E13865">
        <w:t>nd in VETNet - https://vetnet.education.gov.au/Pages/TrainingDocs.aspx?q=0601ab95-583a-4e93-b2d4-cfb27b03ed73</w:t>
      </w:r>
    </w:p>
    <w:p w:rsidR="00000000" w:rsidRPr="00E13865" w:rsidP="00E13865"/>
    <w:sectPr w:rsidSect="00E138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8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865" w:rsidRPr="00C04D87" w:rsidP="00C04D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8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D87" w:rsidP="00E138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04D87" w:rsidP="00E13865">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04D87" w:rsidP="00E138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8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D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3865" w:rsidRPr="00C04D87" w:rsidP="00C04D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8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D87" w:rsidRPr="002D2AF8" w:rsidP="00E13865">
    <w:pPr>
      <w:pStyle w:val="Header"/>
      <w:framePr w:wrap="around"/>
    </w:pPr>
    <w:r>
      <w:fldChar w:fldCharType="begin"/>
    </w:r>
    <w:r>
      <w:instrText xml:space="preserve"> TITLE   \* MERGEFORMAT </w:instrText>
    </w:r>
    <w:r>
      <w:fldChar w:fldCharType="separate"/>
    </w:r>
    <w:r>
      <w:t>MSFSL5002 Remove heritage leadlight and stained glass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C04D87" w:rsidP="00E138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9E6A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FE1A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C674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38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3865"/>
    <w:pPr>
      <w:spacing w:before="360" w:after="60"/>
      <w:outlineLvl w:val="0"/>
    </w:pPr>
    <w:rPr>
      <w:sz w:val="32"/>
    </w:rPr>
  </w:style>
  <w:style w:type="paragraph" w:styleId="Heading2">
    <w:name w:val="heading 2"/>
    <w:basedOn w:val="HeadingBase"/>
    <w:next w:val="BodyText"/>
    <w:link w:val="Heading2Char"/>
    <w:qFormat/>
    <w:rsid w:val="00E13865"/>
    <w:pPr>
      <w:keepLines/>
      <w:spacing w:before="240" w:after="120"/>
      <w:outlineLvl w:val="1"/>
    </w:pPr>
    <w:rPr>
      <w:sz w:val="28"/>
      <w:szCs w:val="40"/>
    </w:rPr>
  </w:style>
  <w:style w:type="paragraph" w:styleId="Heading3">
    <w:name w:val="heading 3"/>
    <w:basedOn w:val="HeadingBase"/>
    <w:next w:val="BodyText"/>
    <w:link w:val="Heading3Char"/>
    <w:qFormat/>
    <w:rsid w:val="00E13865"/>
    <w:pPr>
      <w:spacing w:before="180" w:after="120"/>
      <w:outlineLvl w:val="2"/>
    </w:pPr>
    <w:rPr>
      <w:spacing w:val="-10"/>
      <w:kern w:val="32"/>
    </w:rPr>
  </w:style>
  <w:style w:type="paragraph" w:styleId="Heading4">
    <w:name w:val="heading 4"/>
    <w:basedOn w:val="HeadingBase"/>
    <w:next w:val="BodyText"/>
    <w:link w:val="Heading4Char"/>
    <w:qFormat/>
    <w:rsid w:val="00E13865"/>
    <w:pPr>
      <w:spacing w:before="160" w:after="120"/>
      <w:outlineLvl w:val="3"/>
    </w:pPr>
    <w:rPr>
      <w:sz w:val="22"/>
    </w:rPr>
  </w:style>
  <w:style w:type="paragraph" w:styleId="Heading5">
    <w:name w:val="heading 5"/>
    <w:basedOn w:val="HeadingBase"/>
    <w:next w:val="Normal"/>
    <w:link w:val="Heading5Char"/>
    <w:qFormat/>
    <w:rsid w:val="00E13865"/>
    <w:pPr>
      <w:spacing w:before="80"/>
      <w:outlineLvl w:val="4"/>
    </w:pPr>
    <w:rPr>
      <w:color w:val="918585"/>
      <w:sz w:val="20"/>
    </w:rPr>
  </w:style>
  <w:style w:type="paragraph" w:styleId="Heading6">
    <w:name w:val="heading 6"/>
    <w:basedOn w:val="HeadingBase"/>
    <w:next w:val="Normal"/>
    <w:link w:val="Heading6Char"/>
    <w:qFormat/>
    <w:rsid w:val="00E13865"/>
    <w:pPr>
      <w:spacing w:before="60"/>
      <w:outlineLvl w:val="5"/>
    </w:pPr>
    <w:rPr>
      <w:color w:val="918585"/>
      <w:sz w:val="20"/>
    </w:rPr>
  </w:style>
  <w:style w:type="paragraph" w:styleId="Heading7">
    <w:name w:val="heading 7"/>
    <w:basedOn w:val="Normal"/>
    <w:next w:val="Normal"/>
    <w:link w:val="Heading7Char"/>
    <w:qFormat/>
    <w:rsid w:val="00E13865"/>
    <w:pPr>
      <w:ind w:left="720"/>
      <w:outlineLvl w:val="6"/>
    </w:pPr>
    <w:rPr>
      <w:i/>
    </w:rPr>
  </w:style>
  <w:style w:type="paragraph" w:styleId="Heading8">
    <w:name w:val="heading 8"/>
    <w:basedOn w:val="Normal"/>
    <w:next w:val="Normal"/>
    <w:link w:val="Heading8Char"/>
    <w:qFormat/>
    <w:rsid w:val="00E13865"/>
    <w:pPr>
      <w:ind w:left="720"/>
      <w:outlineLvl w:val="7"/>
    </w:pPr>
    <w:rPr>
      <w:i/>
    </w:rPr>
  </w:style>
  <w:style w:type="paragraph" w:styleId="Heading9">
    <w:name w:val="heading 9"/>
    <w:basedOn w:val="Normal"/>
    <w:next w:val="Normal"/>
    <w:link w:val="Heading9Char"/>
    <w:qFormat/>
    <w:rsid w:val="00E13865"/>
    <w:pPr>
      <w:ind w:left="720"/>
      <w:outlineLvl w:val="8"/>
    </w:pPr>
    <w:rPr>
      <w:i/>
    </w:rPr>
  </w:style>
  <w:style w:type="character" w:default="1" w:styleId="DefaultParagraphFont">
    <w:name w:val="Default Paragraph Font"/>
    <w:uiPriority w:val="1"/>
    <w:unhideWhenUsed/>
    <w:rsid w:val="00E138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3865"/>
  </w:style>
  <w:style w:type="character" w:customStyle="1" w:styleId="Heading1Char">
    <w:name w:val="Heading 1 Char"/>
    <w:basedOn w:val="DefaultParagraphFont"/>
    <w:link w:val="Heading1"/>
    <w:rsid w:val="00E13865"/>
    <w:rPr>
      <w:rFonts w:ascii="Times New Roman" w:eastAsia="Times New Roman" w:hAnsi="Times New Roman" w:cs="Times New Roman"/>
      <w:b/>
      <w:sz w:val="32"/>
      <w:szCs w:val="20"/>
      <w:lang w:eastAsia="en-US"/>
    </w:rPr>
  </w:style>
  <w:style w:type="paragraph" w:styleId="BodyText">
    <w:name w:val="Body Text"/>
    <w:basedOn w:val="Normal"/>
    <w:link w:val="BodyTextChar"/>
    <w:rsid w:val="00E138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3865"/>
    <w:rPr>
      <w:rFonts w:ascii="Times New Roman" w:eastAsia="Times New Roman" w:hAnsi="Times New Roman" w:cs="Times New Roman"/>
      <w:sz w:val="24"/>
      <w:lang w:eastAsia="en-US"/>
    </w:rPr>
  </w:style>
  <w:style w:type="paragraph" w:styleId="ListBullet">
    <w:name w:val="List Bullet"/>
    <w:basedOn w:val="List"/>
    <w:rsid w:val="00E13865"/>
    <w:pPr>
      <w:numPr>
        <w:numId w:val="13"/>
      </w:numPr>
      <w:tabs>
        <w:tab w:val="clear" w:pos="340"/>
      </w:tabs>
      <w:spacing w:before="40" w:after="40"/>
    </w:pPr>
  </w:style>
  <w:style w:type="character" w:customStyle="1" w:styleId="SpecialBold">
    <w:name w:val="Special Bold"/>
    <w:basedOn w:val="DefaultParagraphFont"/>
    <w:rsid w:val="00E13865"/>
    <w:rPr>
      <w:b/>
      <w:spacing w:val="0"/>
    </w:rPr>
  </w:style>
  <w:style w:type="paragraph" w:styleId="ListBullet2">
    <w:name w:val="List Bullet 2"/>
    <w:basedOn w:val="List2"/>
    <w:rsid w:val="00E13865"/>
    <w:pPr>
      <w:numPr>
        <w:numId w:val="14"/>
      </w:numPr>
      <w:tabs>
        <w:tab w:val="clear" w:pos="680"/>
      </w:tabs>
    </w:pPr>
  </w:style>
  <w:style w:type="character" w:styleId="Emphasis">
    <w:name w:val="Emphasis"/>
    <w:basedOn w:val="DefaultParagraphFont"/>
    <w:qFormat/>
    <w:rsid w:val="00E13865"/>
    <w:rPr>
      <w:i/>
    </w:rPr>
  </w:style>
  <w:style w:type="paragraph" w:customStyle="1" w:styleId="SuperHeading">
    <w:name w:val="SuperHeading"/>
    <w:basedOn w:val="Normal"/>
    <w:rsid w:val="00E13865"/>
    <w:pPr>
      <w:spacing w:before="240" w:after="120"/>
      <w:outlineLvl w:val="0"/>
    </w:pPr>
    <w:rPr>
      <w:rFonts w:ascii="Times New Roman" w:hAnsi="Times New Roman"/>
      <w:b/>
      <w:sz w:val="32"/>
    </w:rPr>
  </w:style>
  <w:style w:type="paragraph" w:customStyle="1" w:styleId="AllowPageBreak">
    <w:name w:val="AllowPageBreak"/>
    <w:rsid w:val="00E138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38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38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38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38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38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38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38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3865"/>
    <w:rPr>
      <w:rFonts w:ascii="Courier New" w:eastAsia="Times New Roman" w:hAnsi="Courier New" w:cs="Times New Roman"/>
      <w:i/>
      <w:szCs w:val="20"/>
      <w:lang w:eastAsia="en-US"/>
    </w:rPr>
  </w:style>
  <w:style w:type="paragraph" w:customStyle="1" w:styleId="HeadingBase">
    <w:name w:val="Heading Base"/>
    <w:rsid w:val="00E138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3865"/>
    <w:pPr>
      <w:tabs>
        <w:tab w:val="right" w:leader="dot" w:pos="9072"/>
      </w:tabs>
      <w:ind w:left="567"/>
    </w:pPr>
    <w:rPr>
      <w:szCs w:val="22"/>
    </w:rPr>
  </w:style>
  <w:style w:type="paragraph" w:customStyle="1" w:styleId="TOCBase">
    <w:name w:val="TOC Base"/>
    <w:rsid w:val="00E138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3865"/>
    <w:pPr>
      <w:tabs>
        <w:tab w:val="right" w:leader="dot" w:pos="9072"/>
      </w:tabs>
      <w:spacing w:before="40" w:after="40"/>
      <w:ind w:left="284"/>
    </w:pPr>
    <w:rPr>
      <w:rFonts w:ascii="Times New Roman" w:hAnsi="Times New Roman"/>
    </w:rPr>
  </w:style>
  <w:style w:type="paragraph" w:styleId="TOC1">
    <w:name w:val="toc 1"/>
    <w:basedOn w:val="TOCBase"/>
    <w:next w:val="Normal"/>
    <w:rsid w:val="00E138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38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3865"/>
    <w:rPr>
      <w:rFonts w:ascii="Times New Roman" w:eastAsia="Times New Roman" w:hAnsi="Times New Roman" w:cs="Times New Roman"/>
      <w:sz w:val="16"/>
      <w:lang w:eastAsia="en-US"/>
    </w:rPr>
  </w:style>
  <w:style w:type="paragraph" w:styleId="Title">
    <w:name w:val="Title"/>
    <w:basedOn w:val="HeadingBase"/>
    <w:link w:val="TitleChar"/>
    <w:qFormat/>
    <w:rsid w:val="00E13865"/>
    <w:pPr>
      <w:spacing w:before="5040"/>
      <w:jc w:val="center"/>
    </w:pPr>
    <w:rPr>
      <w:sz w:val="48"/>
      <w:szCs w:val="72"/>
      <w:lang w:val="en-US"/>
    </w:rPr>
  </w:style>
  <w:style w:type="character" w:customStyle="1" w:styleId="TitleChar">
    <w:name w:val="Title Char"/>
    <w:basedOn w:val="DefaultParagraphFont"/>
    <w:link w:val="Title"/>
    <w:rsid w:val="00E138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3865"/>
    <w:pPr>
      <w:tabs>
        <w:tab w:val="left" w:pos="3600"/>
        <w:tab w:val="left" w:pos="3958"/>
      </w:tabs>
    </w:pPr>
  </w:style>
  <w:style w:type="paragraph" w:styleId="List">
    <w:name w:val="List"/>
    <w:basedOn w:val="BodyText"/>
    <w:next w:val="BodyText"/>
    <w:rsid w:val="00E13865"/>
    <w:pPr>
      <w:tabs>
        <w:tab w:val="left" w:pos="340"/>
      </w:tabs>
      <w:spacing w:before="60" w:after="60"/>
      <w:ind w:left="340" w:hanging="340"/>
    </w:pPr>
  </w:style>
  <w:style w:type="paragraph" w:customStyle="1" w:styleId="Note">
    <w:name w:val="Note"/>
    <w:basedOn w:val="BodyText"/>
    <w:rsid w:val="00E138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3865"/>
    <w:pPr>
      <w:framePr w:wrap="auto" w:hAnchor="text" w:y="6049"/>
    </w:pPr>
    <w:rPr>
      <w:color w:val="000000"/>
      <w:sz w:val="40"/>
    </w:rPr>
  </w:style>
  <w:style w:type="paragraph" w:customStyle="1" w:styleId="TOCTitle">
    <w:name w:val="TOCTitle"/>
    <w:basedOn w:val="Heading1"/>
    <w:rsid w:val="00E13865"/>
    <w:pPr>
      <w:spacing w:after="240"/>
      <w:jc w:val="center"/>
      <w:outlineLvl w:val="9"/>
    </w:pPr>
    <w:rPr>
      <w:caps/>
    </w:rPr>
  </w:style>
  <w:style w:type="paragraph" w:customStyle="1" w:styleId="Version">
    <w:name w:val="Version"/>
    <w:rsid w:val="00E138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3865"/>
    <w:pPr>
      <w:keepNext w:val="0"/>
      <w:tabs>
        <w:tab w:val="right" w:pos="4176"/>
      </w:tabs>
      <w:ind w:left="198" w:hanging="198"/>
    </w:pPr>
    <w:rPr>
      <w:rFonts w:ascii="Garamond" w:hAnsi="Garamond"/>
    </w:rPr>
  </w:style>
  <w:style w:type="paragraph" w:styleId="IndexHeading">
    <w:name w:val="index heading"/>
    <w:basedOn w:val="Normal"/>
    <w:next w:val="Index1"/>
    <w:semiHidden/>
    <w:rsid w:val="00E13865"/>
    <w:pPr>
      <w:spacing w:before="120" w:after="120"/>
    </w:pPr>
    <w:rPr>
      <w:rFonts w:ascii="Arial" w:hAnsi="Arial"/>
      <w:b/>
      <w:color w:val="918585"/>
      <w:sz w:val="24"/>
    </w:rPr>
  </w:style>
  <w:style w:type="paragraph" w:styleId="Header">
    <w:name w:val="header"/>
    <w:basedOn w:val="Normal"/>
    <w:link w:val="HeaderChar"/>
    <w:rsid w:val="00E138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3865"/>
    <w:rPr>
      <w:rFonts w:ascii="Times New Roman" w:eastAsia="Times New Roman" w:hAnsi="Times New Roman" w:cs="Times New Roman"/>
      <w:sz w:val="16"/>
      <w:szCs w:val="20"/>
      <w:lang w:val="en-GB" w:eastAsia="en-US"/>
    </w:rPr>
  </w:style>
  <w:style w:type="paragraph" w:customStyle="1" w:styleId="Chapter">
    <w:name w:val="Chapter"/>
    <w:basedOn w:val="Normal"/>
    <w:rsid w:val="00E13865"/>
    <w:pPr>
      <w:spacing w:before="240"/>
    </w:pPr>
    <w:rPr>
      <w:rFonts w:ascii="Times New Roman" w:hAnsi="Times New Roman"/>
      <w:smallCaps/>
      <w:spacing w:val="80"/>
      <w:sz w:val="28"/>
    </w:rPr>
  </w:style>
  <w:style w:type="paragraph" w:customStyle="1" w:styleId="InChapter">
    <w:name w:val="InChapter"/>
    <w:basedOn w:val="Heading3"/>
    <w:rsid w:val="00E13865"/>
    <w:pPr>
      <w:spacing w:after="240"/>
      <w:outlineLvl w:val="9"/>
    </w:pPr>
    <w:rPr>
      <w:noProof/>
    </w:rPr>
  </w:style>
  <w:style w:type="paragraph" w:styleId="Index2">
    <w:name w:val="index 2"/>
    <w:basedOn w:val="Normal"/>
    <w:next w:val="Normal"/>
    <w:semiHidden/>
    <w:rsid w:val="00E13865"/>
    <w:pPr>
      <w:tabs>
        <w:tab w:val="right" w:pos="4176"/>
      </w:tabs>
      <w:ind w:left="568" w:hanging="284"/>
    </w:pPr>
    <w:rPr>
      <w:rFonts w:ascii="Garamond" w:hAnsi="Garamond"/>
    </w:rPr>
  </w:style>
  <w:style w:type="paragraph" w:customStyle="1" w:styleId="Byline">
    <w:name w:val="Byline"/>
    <w:rsid w:val="00E138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3865"/>
    <w:pPr>
      <w:tabs>
        <w:tab w:val="clear" w:pos="3600"/>
        <w:tab w:val="clear" w:pos="3958"/>
      </w:tabs>
      <w:jc w:val="right"/>
    </w:pPr>
  </w:style>
  <w:style w:type="paragraph" w:styleId="Caption">
    <w:name w:val="caption"/>
    <w:basedOn w:val="BodyText"/>
    <w:next w:val="Normal"/>
    <w:qFormat/>
    <w:rsid w:val="00E13865"/>
    <w:pPr>
      <w:framePr w:w="2268" w:hSpace="181" w:vSpace="181" w:wrap="around" w:vAnchor="text" w:hAnchor="page" w:x="1135" w:y="285" w:anchorLock="1"/>
    </w:pPr>
    <w:rPr>
      <w:i/>
    </w:rPr>
  </w:style>
  <w:style w:type="paragraph" w:customStyle="1" w:styleId="MiniTOCTitle">
    <w:name w:val="MiniTOCTitle"/>
    <w:basedOn w:val="Heading4"/>
    <w:rsid w:val="00E13865"/>
    <w:pPr>
      <w:spacing w:before="240"/>
      <w:outlineLvl w:val="9"/>
    </w:pPr>
    <w:rPr>
      <w:noProof/>
      <w:sz w:val="24"/>
    </w:rPr>
  </w:style>
  <w:style w:type="paragraph" w:customStyle="1" w:styleId="MiniTOCItem">
    <w:name w:val="MiniTOCItem"/>
    <w:basedOn w:val="ListBullet"/>
    <w:rsid w:val="00E13865"/>
    <w:pPr>
      <w:numPr>
        <w:numId w:val="0"/>
      </w:numPr>
      <w:tabs>
        <w:tab w:val="right" w:leader="dot" w:pos="6521"/>
      </w:tabs>
      <w:spacing w:before="0" w:after="0"/>
    </w:pPr>
  </w:style>
  <w:style w:type="paragraph" w:customStyle="1" w:styleId="TOFTitle">
    <w:name w:val="TOFTitle"/>
    <w:basedOn w:val="TOCTitle"/>
    <w:rsid w:val="00E13865"/>
  </w:style>
  <w:style w:type="paragraph" w:styleId="TableofFigures">
    <w:name w:val="table of figures"/>
    <w:basedOn w:val="Normal"/>
    <w:next w:val="Normal"/>
    <w:semiHidden/>
    <w:rsid w:val="00E13865"/>
    <w:pPr>
      <w:tabs>
        <w:tab w:val="right" w:leader="dot" w:pos="9072"/>
      </w:tabs>
      <w:ind w:left="970" w:hanging="403"/>
    </w:pPr>
    <w:rPr>
      <w:rFonts w:ascii="Times New Roman" w:hAnsi="Times New Roman"/>
      <w:b/>
    </w:rPr>
  </w:style>
  <w:style w:type="paragraph" w:styleId="ListNumber">
    <w:name w:val="List Number"/>
    <w:basedOn w:val="List"/>
    <w:rsid w:val="00E13865"/>
    <w:pPr>
      <w:numPr>
        <w:numId w:val="11"/>
      </w:numPr>
    </w:pPr>
  </w:style>
  <w:style w:type="character" w:customStyle="1" w:styleId="WingdingSymbols">
    <w:name w:val="Wingding Symbols"/>
    <w:rsid w:val="00E13865"/>
    <w:rPr>
      <w:rFonts w:ascii="Wingdings" w:hAnsi="Wingdings"/>
    </w:rPr>
  </w:style>
  <w:style w:type="paragraph" w:customStyle="1" w:styleId="TableHeading">
    <w:name w:val="Table Heading"/>
    <w:basedOn w:val="HeadingBase"/>
    <w:rsid w:val="00E13865"/>
    <w:pPr>
      <w:keepLines/>
      <w:pBdr>
        <w:bottom w:val="single" w:sz="6" w:space="1" w:color="918585"/>
      </w:pBdr>
      <w:spacing w:before="240"/>
    </w:pPr>
  </w:style>
  <w:style w:type="character" w:customStyle="1" w:styleId="HotSpot">
    <w:name w:val="HotSpot"/>
    <w:rsid w:val="00E13865"/>
    <w:rPr>
      <w:color w:val="0033CC"/>
      <w:u w:val="none"/>
    </w:rPr>
  </w:style>
  <w:style w:type="paragraph" w:customStyle="1" w:styleId="BodyTextRight">
    <w:name w:val="Body Text Right"/>
    <w:basedOn w:val="BodyText"/>
    <w:rsid w:val="00E13865"/>
    <w:pPr>
      <w:spacing w:before="0" w:after="0"/>
      <w:jc w:val="right"/>
    </w:pPr>
  </w:style>
  <w:style w:type="paragraph" w:styleId="Index3">
    <w:name w:val="index 3"/>
    <w:basedOn w:val="ListNumber2"/>
    <w:next w:val="Normal"/>
    <w:semiHidden/>
    <w:rsid w:val="00E13865"/>
    <w:pPr>
      <w:numPr>
        <w:numId w:val="0"/>
      </w:numPr>
      <w:tabs>
        <w:tab w:val="right" w:leader="dot" w:pos="4176"/>
      </w:tabs>
    </w:pPr>
  </w:style>
  <w:style w:type="paragraph" w:styleId="ListNumber2">
    <w:name w:val="List Number 2"/>
    <w:basedOn w:val="List2"/>
    <w:rsid w:val="00E13865"/>
    <w:pPr>
      <w:numPr>
        <w:numId w:val="10"/>
      </w:numPr>
      <w:tabs>
        <w:tab w:val="clear" w:pos="1060"/>
      </w:tabs>
    </w:pPr>
  </w:style>
  <w:style w:type="paragraph" w:customStyle="1" w:styleId="MarginNote">
    <w:name w:val="Margin Note"/>
    <w:basedOn w:val="BodyText"/>
    <w:rsid w:val="00E138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38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38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3865"/>
    <w:rPr>
      <w:sz w:val="32"/>
    </w:rPr>
  </w:style>
  <w:style w:type="paragraph" w:customStyle="1" w:styleId="HeadingProcedure">
    <w:name w:val="Heading Procedure"/>
    <w:basedOn w:val="HeadingBase"/>
    <w:next w:val="Normal"/>
    <w:rsid w:val="00E13865"/>
    <w:pPr>
      <w:tabs>
        <w:tab w:val="left" w:pos="0"/>
      </w:tabs>
      <w:spacing w:before="120" w:after="60"/>
    </w:pPr>
    <w:rPr>
      <w:i/>
      <w:color w:val="918585"/>
      <w:sz w:val="22"/>
    </w:rPr>
  </w:style>
  <w:style w:type="paragraph" w:customStyle="1" w:styleId="TableBodyText">
    <w:name w:val="Table Body Text"/>
    <w:basedOn w:val="BodyText"/>
    <w:rsid w:val="00E13865"/>
    <w:pPr>
      <w:spacing w:before="60" w:after="60"/>
    </w:pPr>
  </w:style>
  <w:style w:type="paragraph" w:styleId="ListContinue">
    <w:name w:val="List Continue"/>
    <w:basedOn w:val="List"/>
    <w:rsid w:val="00E13865"/>
    <w:pPr>
      <w:ind w:firstLine="0"/>
    </w:pPr>
  </w:style>
  <w:style w:type="paragraph" w:customStyle="1" w:styleId="ListNote">
    <w:name w:val="List Note"/>
    <w:basedOn w:val="List"/>
    <w:rsid w:val="00E13865"/>
    <w:pPr>
      <w:pBdr>
        <w:top w:val="single" w:sz="6" w:space="2" w:color="918585"/>
        <w:bottom w:val="single" w:sz="6" w:space="2" w:color="918585"/>
      </w:pBdr>
      <w:tabs>
        <w:tab w:val="left" w:pos="1021"/>
      </w:tabs>
      <w:ind w:firstLine="0"/>
    </w:pPr>
  </w:style>
  <w:style w:type="paragraph" w:customStyle="1" w:styleId="Warning">
    <w:name w:val="Warning"/>
    <w:basedOn w:val="BodyText"/>
    <w:rsid w:val="00E13865"/>
    <w:pPr>
      <w:shd w:val="clear" w:color="auto" w:fill="D9D9D9"/>
      <w:tabs>
        <w:tab w:val="left" w:pos="992"/>
      </w:tabs>
      <w:ind w:left="119" w:right="119"/>
    </w:pPr>
    <w:rPr>
      <w:sz w:val="20"/>
    </w:rPr>
  </w:style>
  <w:style w:type="paragraph" w:customStyle="1" w:styleId="MarginIcons">
    <w:name w:val="Margin Icons"/>
    <w:basedOn w:val="BodyText"/>
    <w:rsid w:val="00E138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3865"/>
    <w:rPr>
      <w:rFonts w:ascii="Courier New" w:hAnsi="Courier New"/>
    </w:rPr>
  </w:style>
  <w:style w:type="paragraph" w:customStyle="1" w:styleId="NoteBullet">
    <w:name w:val="Note Bullet"/>
    <w:basedOn w:val="Note"/>
    <w:rsid w:val="00E13865"/>
    <w:pPr>
      <w:tabs>
        <w:tab w:val="clear" w:pos="680"/>
      </w:tabs>
      <w:spacing w:before="60" w:after="60"/>
    </w:pPr>
  </w:style>
  <w:style w:type="paragraph" w:customStyle="1" w:styleId="SubHeading2">
    <w:name w:val="SubHeading2"/>
    <w:basedOn w:val="HeadingBase"/>
    <w:rsid w:val="00E13865"/>
    <w:pPr>
      <w:spacing w:before="240" w:after="60"/>
    </w:pPr>
    <w:rPr>
      <w:sz w:val="20"/>
    </w:rPr>
  </w:style>
  <w:style w:type="paragraph" w:customStyle="1" w:styleId="SubHeading1">
    <w:name w:val="SubHeading1"/>
    <w:basedOn w:val="HeadingBase"/>
    <w:rsid w:val="00E13865"/>
    <w:pPr>
      <w:spacing w:before="240" w:after="60"/>
    </w:pPr>
    <w:rPr>
      <w:color w:val="918585"/>
      <w:sz w:val="22"/>
    </w:rPr>
  </w:style>
  <w:style w:type="paragraph" w:customStyle="1" w:styleId="SideHeading">
    <w:name w:val="Side Heading"/>
    <w:basedOn w:val="HeadingBase"/>
    <w:rsid w:val="00E138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3865"/>
    <w:pPr>
      <w:numPr>
        <w:numId w:val="12"/>
      </w:numPr>
    </w:pPr>
  </w:style>
  <w:style w:type="paragraph" w:styleId="PlainText">
    <w:name w:val="Plain Text"/>
    <w:basedOn w:val="Normal"/>
    <w:link w:val="PlainTextChar"/>
    <w:rsid w:val="00E13865"/>
    <w:rPr>
      <w:sz w:val="20"/>
    </w:rPr>
  </w:style>
  <w:style w:type="character" w:customStyle="1" w:styleId="PlainTextChar">
    <w:name w:val="Plain Text Char"/>
    <w:basedOn w:val="DefaultParagraphFont"/>
    <w:link w:val="PlainText"/>
    <w:rsid w:val="00E13865"/>
    <w:rPr>
      <w:rFonts w:ascii="Courier New" w:eastAsia="Times New Roman" w:hAnsi="Courier New" w:cs="Times New Roman"/>
      <w:sz w:val="20"/>
      <w:szCs w:val="20"/>
      <w:lang w:eastAsia="en-US"/>
    </w:rPr>
  </w:style>
  <w:style w:type="character" w:customStyle="1" w:styleId="MenuOption">
    <w:name w:val="Menu Option"/>
    <w:basedOn w:val="DefaultParagraphFont"/>
    <w:rsid w:val="00E13865"/>
    <w:rPr>
      <w:b/>
      <w:smallCaps/>
    </w:rPr>
  </w:style>
  <w:style w:type="paragraph" w:customStyle="1" w:styleId="TableListNumber">
    <w:name w:val="Table List Number"/>
    <w:basedOn w:val="ListNumber"/>
    <w:rsid w:val="00E13865"/>
    <w:pPr>
      <w:numPr>
        <w:numId w:val="0"/>
      </w:numPr>
    </w:pPr>
  </w:style>
  <w:style w:type="paragraph" w:styleId="TOC4">
    <w:name w:val="toc 4"/>
    <w:basedOn w:val="TOCBase"/>
    <w:next w:val="Normal"/>
    <w:semiHidden/>
    <w:rsid w:val="00E13865"/>
    <w:pPr>
      <w:tabs>
        <w:tab w:val="right" w:leader="dot" w:pos="9071"/>
      </w:tabs>
      <w:ind w:left="1701"/>
    </w:pPr>
  </w:style>
  <w:style w:type="paragraph" w:customStyle="1" w:styleId="ListAlpha">
    <w:name w:val="List Alpha"/>
    <w:basedOn w:val="List"/>
    <w:rsid w:val="00E13865"/>
    <w:pPr>
      <w:numPr>
        <w:numId w:val="9"/>
      </w:numPr>
    </w:pPr>
  </w:style>
  <w:style w:type="paragraph" w:customStyle="1" w:styleId="ListAlpha2">
    <w:name w:val="List Alpha 2"/>
    <w:basedOn w:val="List2"/>
    <w:rsid w:val="00E13865"/>
    <w:pPr>
      <w:numPr>
        <w:numId w:val="8"/>
      </w:numPr>
    </w:pPr>
  </w:style>
  <w:style w:type="paragraph" w:styleId="List2">
    <w:name w:val="List 2"/>
    <w:basedOn w:val="BodyText"/>
    <w:rsid w:val="00E13865"/>
    <w:pPr>
      <w:tabs>
        <w:tab w:val="left" w:pos="680"/>
      </w:tabs>
      <w:spacing w:before="60" w:after="60"/>
      <w:ind w:left="680" w:hanging="340"/>
    </w:pPr>
  </w:style>
  <w:style w:type="paragraph" w:styleId="List3">
    <w:name w:val="List 3"/>
    <w:basedOn w:val="BodyText"/>
    <w:rsid w:val="00E13865"/>
    <w:pPr>
      <w:tabs>
        <w:tab w:val="left" w:pos="1021"/>
      </w:tabs>
      <w:spacing w:before="60" w:after="60"/>
      <w:ind w:left="1020" w:hanging="340"/>
    </w:pPr>
  </w:style>
  <w:style w:type="paragraph" w:styleId="List4">
    <w:name w:val="List 4"/>
    <w:basedOn w:val="BodyText"/>
    <w:rsid w:val="00E13865"/>
    <w:pPr>
      <w:tabs>
        <w:tab w:val="left" w:pos="1361"/>
      </w:tabs>
      <w:spacing w:before="60" w:after="60"/>
      <w:ind w:left="1361" w:hanging="340"/>
    </w:pPr>
  </w:style>
  <w:style w:type="paragraph" w:styleId="List5">
    <w:name w:val="List 5"/>
    <w:basedOn w:val="BodyText"/>
    <w:rsid w:val="00E13865"/>
    <w:pPr>
      <w:tabs>
        <w:tab w:val="left" w:pos="1701"/>
      </w:tabs>
      <w:spacing w:before="60" w:after="60"/>
      <w:ind w:left="1701" w:hanging="340"/>
    </w:pPr>
  </w:style>
  <w:style w:type="paragraph" w:styleId="ListBullet3">
    <w:name w:val="List Bullet 3"/>
    <w:basedOn w:val="List3"/>
    <w:rsid w:val="00E13865"/>
    <w:pPr>
      <w:numPr>
        <w:numId w:val="15"/>
      </w:numPr>
      <w:tabs>
        <w:tab w:val="clear" w:pos="1021"/>
      </w:tabs>
      <w:ind w:left="1037" w:hanging="357"/>
    </w:pPr>
  </w:style>
  <w:style w:type="paragraph" w:styleId="ListBullet4">
    <w:name w:val="List Bullet 4"/>
    <w:basedOn w:val="List4"/>
    <w:rsid w:val="00E13865"/>
    <w:pPr>
      <w:numPr>
        <w:numId w:val="3"/>
      </w:numPr>
      <w:tabs>
        <w:tab w:val="clear" w:pos="1361"/>
      </w:tabs>
    </w:pPr>
  </w:style>
  <w:style w:type="paragraph" w:styleId="ListBullet5">
    <w:name w:val="List Bullet 5"/>
    <w:basedOn w:val="List5"/>
    <w:rsid w:val="00E13865"/>
    <w:pPr>
      <w:numPr>
        <w:numId w:val="4"/>
      </w:numPr>
    </w:pPr>
  </w:style>
  <w:style w:type="paragraph" w:styleId="ListContinue2">
    <w:name w:val="List Continue 2"/>
    <w:basedOn w:val="List2"/>
    <w:rsid w:val="00E13865"/>
    <w:pPr>
      <w:ind w:firstLine="0"/>
    </w:pPr>
  </w:style>
  <w:style w:type="paragraph" w:styleId="ListContinue3">
    <w:name w:val="List Continue 3"/>
    <w:basedOn w:val="List3"/>
    <w:rsid w:val="00E13865"/>
    <w:pPr>
      <w:ind w:left="1021" w:firstLine="0"/>
    </w:pPr>
  </w:style>
  <w:style w:type="paragraph" w:styleId="ListContinue4">
    <w:name w:val="List Continue 4"/>
    <w:basedOn w:val="List4"/>
    <w:rsid w:val="00E13865"/>
    <w:pPr>
      <w:ind w:firstLine="0"/>
    </w:pPr>
  </w:style>
  <w:style w:type="paragraph" w:styleId="ListContinue5">
    <w:name w:val="List Continue 5"/>
    <w:basedOn w:val="List5"/>
    <w:rsid w:val="00E13865"/>
    <w:pPr>
      <w:ind w:firstLine="0"/>
    </w:pPr>
  </w:style>
  <w:style w:type="paragraph" w:styleId="ListNumber3">
    <w:name w:val="List Number 3"/>
    <w:basedOn w:val="List3"/>
    <w:rsid w:val="00E13865"/>
    <w:pPr>
      <w:numPr>
        <w:numId w:val="5"/>
      </w:numPr>
    </w:pPr>
  </w:style>
  <w:style w:type="paragraph" w:styleId="ListNumber4">
    <w:name w:val="List Number 4"/>
    <w:basedOn w:val="List4"/>
    <w:rsid w:val="00E13865"/>
    <w:pPr>
      <w:numPr>
        <w:numId w:val="6"/>
      </w:numPr>
    </w:pPr>
  </w:style>
  <w:style w:type="paragraph" w:styleId="ListNumber5">
    <w:name w:val="List Number 5"/>
    <w:basedOn w:val="List5"/>
    <w:rsid w:val="00E13865"/>
    <w:pPr>
      <w:numPr>
        <w:numId w:val="7"/>
      </w:numPr>
    </w:pPr>
  </w:style>
  <w:style w:type="paragraph" w:styleId="BlockText">
    <w:name w:val="Block Text"/>
    <w:basedOn w:val="Normal"/>
    <w:rsid w:val="00E13865"/>
    <w:pPr>
      <w:spacing w:after="120"/>
      <w:ind w:left="1440" w:right="1440"/>
    </w:pPr>
  </w:style>
  <w:style w:type="character" w:customStyle="1" w:styleId="Subscript">
    <w:name w:val="Subscript"/>
    <w:basedOn w:val="DefaultParagraphFont"/>
    <w:rsid w:val="00E13865"/>
    <w:rPr>
      <w:sz w:val="16"/>
      <w:vertAlign w:val="subscript"/>
    </w:rPr>
  </w:style>
  <w:style w:type="character" w:customStyle="1" w:styleId="Superscript">
    <w:name w:val="Superscript"/>
    <w:basedOn w:val="DefaultParagraphFont"/>
    <w:rsid w:val="00E13865"/>
    <w:rPr>
      <w:sz w:val="16"/>
      <w:vertAlign w:val="superscript"/>
    </w:rPr>
  </w:style>
  <w:style w:type="character" w:customStyle="1" w:styleId="Symbols">
    <w:name w:val="Symbols"/>
    <w:basedOn w:val="DefaultParagraphFont"/>
    <w:rsid w:val="00E13865"/>
    <w:rPr>
      <w:rFonts w:ascii="Symbol" w:hAnsi="Symbol"/>
    </w:rPr>
  </w:style>
  <w:style w:type="character" w:customStyle="1" w:styleId="MenuOptions">
    <w:name w:val="Menu Options"/>
    <w:basedOn w:val="DefaultParagraphFont"/>
    <w:rsid w:val="00E13865"/>
    <w:rPr>
      <w:rFonts w:ascii="Arial Narrow" w:hAnsi="Arial Narrow"/>
      <w:smallCaps/>
    </w:rPr>
  </w:style>
  <w:style w:type="character" w:customStyle="1" w:styleId="Buttons">
    <w:name w:val="Buttons"/>
    <w:basedOn w:val="DefaultParagraphFont"/>
    <w:rsid w:val="00E13865"/>
    <w:rPr>
      <w:b/>
    </w:rPr>
  </w:style>
  <w:style w:type="character" w:customStyle="1" w:styleId="Underlined">
    <w:name w:val="Underlined"/>
    <w:basedOn w:val="DefaultParagraphFont"/>
    <w:rsid w:val="00E13865"/>
    <w:rPr>
      <w:u w:val="single"/>
    </w:rPr>
  </w:style>
  <w:style w:type="paragraph" w:customStyle="1" w:styleId="TableBodyTextRight">
    <w:name w:val="Table Body Text Right"/>
    <w:basedOn w:val="TableBodyText"/>
    <w:rsid w:val="00E13865"/>
    <w:pPr>
      <w:widowControl w:val="0"/>
      <w:autoSpaceDE w:val="0"/>
      <w:autoSpaceDN w:val="0"/>
      <w:adjustRightInd w:val="0"/>
      <w:jc w:val="right"/>
    </w:pPr>
    <w:rPr>
      <w:rFonts w:cs="Arial"/>
      <w:szCs w:val="18"/>
    </w:rPr>
  </w:style>
  <w:style w:type="paragraph" w:customStyle="1" w:styleId="CopyrightText">
    <w:name w:val="Copyright Text"/>
    <w:basedOn w:val="BodyText"/>
    <w:rsid w:val="00E13865"/>
    <w:rPr>
      <w:sz w:val="18"/>
    </w:rPr>
  </w:style>
  <w:style w:type="paragraph" w:customStyle="1" w:styleId="BodySmallRight">
    <w:name w:val="Body Small Right"/>
    <w:basedOn w:val="BodyTextRight"/>
    <w:rsid w:val="00E13865"/>
    <w:rPr>
      <w:sz w:val="18"/>
      <w:szCs w:val="18"/>
    </w:rPr>
  </w:style>
  <w:style w:type="paragraph" w:customStyle="1" w:styleId="MarginEdition">
    <w:name w:val="Margin Edition"/>
    <w:basedOn w:val="MarginNote"/>
    <w:rsid w:val="00E13865"/>
    <w:pPr>
      <w:spacing w:before="0" w:after="0"/>
    </w:pPr>
    <w:rPr>
      <w:rFonts w:ascii="Times New Roman" w:hAnsi="Times New Roman"/>
      <w:color w:val="999999"/>
    </w:rPr>
  </w:style>
  <w:style w:type="paragraph" w:customStyle="1" w:styleId="Spacer">
    <w:name w:val="Spacer"/>
    <w:basedOn w:val="Normal"/>
    <w:rsid w:val="00E13865"/>
    <w:rPr>
      <w:sz w:val="2"/>
      <w:szCs w:val="2"/>
    </w:rPr>
  </w:style>
  <w:style w:type="character" w:customStyle="1" w:styleId="Small">
    <w:name w:val="Small"/>
    <w:basedOn w:val="DefaultParagraphFont"/>
    <w:rsid w:val="00E13865"/>
    <w:rPr>
      <w:sz w:val="16"/>
    </w:rPr>
  </w:style>
  <w:style w:type="paragraph" w:customStyle="1" w:styleId="WideTable">
    <w:name w:val="Wide Table"/>
    <w:basedOn w:val="Normal"/>
    <w:rsid w:val="00E13865"/>
    <w:pPr>
      <w:ind w:left="-1418"/>
    </w:pPr>
    <w:rPr>
      <w:sz w:val="2"/>
      <w:szCs w:val="2"/>
    </w:rPr>
  </w:style>
  <w:style w:type="character" w:styleId="PageNumber">
    <w:name w:val="page number"/>
    <w:basedOn w:val="DefaultParagraphFont"/>
    <w:rsid w:val="00E13865"/>
  </w:style>
  <w:style w:type="paragraph" w:styleId="Quote">
    <w:name w:val="Quote"/>
    <w:basedOn w:val="Heading1"/>
    <w:link w:val="QuoteChar"/>
    <w:qFormat/>
    <w:rsid w:val="00E13865"/>
    <w:rPr>
      <w:b w:val="0"/>
      <w:sz w:val="72"/>
      <w:szCs w:val="72"/>
      <w:lang w:val="en-NZ"/>
    </w:rPr>
  </w:style>
  <w:style w:type="character" w:customStyle="1" w:styleId="QuoteChar">
    <w:name w:val="Quote Char"/>
    <w:basedOn w:val="DefaultParagraphFont"/>
    <w:link w:val="Quote"/>
    <w:rsid w:val="00E138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3865"/>
    <w:pPr>
      <w:pageBreakBefore/>
    </w:pPr>
  </w:style>
  <w:style w:type="paragraph" w:customStyle="1" w:styleId="Border">
    <w:name w:val="Border"/>
    <w:basedOn w:val="Normal"/>
    <w:qFormat/>
    <w:rsid w:val="00E138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3865"/>
    <w:rPr>
      <w:b/>
      <w:bCs/>
      <w:i/>
      <w:iCs/>
      <w:color w:val="auto"/>
    </w:rPr>
  </w:style>
  <w:style w:type="paragraph" w:styleId="IntenseQuote">
    <w:name w:val="Intense Quote"/>
    <w:basedOn w:val="Normal"/>
    <w:next w:val="Normal"/>
    <w:link w:val="IntenseQuoteChar"/>
    <w:uiPriority w:val="30"/>
    <w:qFormat/>
    <w:rsid w:val="00E138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38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3865"/>
    <w:rPr>
      <w:smallCaps/>
      <w:color w:val="auto"/>
      <w:u w:val="single"/>
    </w:rPr>
  </w:style>
  <w:style w:type="character" w:styleId="IntenseReference">
    <w:name w:val="Intense Reference"/>
    <w:basedOn w:val="DefaultParagraphFont"/>
    <w:uiPriority w:val="32"/>
    <w:qFormat/>
    <w:rsid w:val="00E13865"/>
    <w:rPr>
      <w:b/>
      <w:bCs/>
      <w:smallCaps/>
      <w:color w:val="auto"/>
      <w:spacing w:val="5"/>
      <w:u w:val="single"/>
    </w:rPr>
  </w:style>
  <w:style w:type="paragraph" w:customStyle="1" w:styleId="2ColumnHeading">
    <w:name w:val="2Column Heading"/>
    <w:basedOn w:val="BodyText"/>
    <w:qFormat/>
    <w:rsid w:val="00E13865"/>
    <w:pPr>
      <w:spacing w:after="60"/>
      <w:ind w:left="-2268"/>
    </w:pPr>
    <w:rPr>
      <w:b/>
    </w:rPr>
  </w:style>
  <w:style w:type="paragraph" w:customStyle="1" w:styleId="Heading1TOC">
    <w:name w:val="Heading1 TOC"/>
    <w:basedOn w:val="Normal"/>
    <w:qFormat/>
    <w:rsid w:val="00E13865"/>
    <w:pPr>
      <w:spacing w:before="240" w:after="120"/>
    </w:pPr>
    <w:rPr>
      <w:rFonts w:ascii="Times New Roman" w:hAnsi="Times New Roman"/>
      <w:b/>
      <w:sz w:val="32"/>
    </w:rPr>
  </w:style>
  <w:style w:type="paragraph" w:customStyle="1" w:styleId="Heading2TOC">
    <w:name w:val="Heading2 TOC"/>
    <w:basedOn w:val="Normal"/>
    <w:qFormat/>
    <w:rsid w:val="00E13865"/>
    <w:pPr>
      <w:spacing w:before="240" w:after="60"/>
    </w:pPr>
    <w:rPr>
      <w:rFonts w:ascii="Times New Roman" w:hAnsi="Times New Roman"/>
      <w:b/>
      <w:sz w:val="28"/>
    </w:rPr>
  </w:style>
  <w:style w:type="character" w:customStyle="1" w:styleId="Underline">
    <w:name w:val="Underline"/>
    <w:basedOn w:val="DefaultParagraphFont"/>
    <w:qFormat/>
    <w:rsid w:val="00E13865"/>
    <w:rPr>
      <w:u w:val="single"/>
    </w:rPr>
  </w:style>
  <w:style w:type="character" w:customStyle="1" w:styleId="BoldandItalics">
    <w:name w:val="Bold and Italics"/>
    <w:qFormat/>
    <w:rsid w:val="00E13865"/>
    <w:rPr>
      <w:b/>
      <w:i/>
      <w:u w:val="none"/>
    </w:rPr>
  </w:style>
  <w:style w:type="paragraph" w:styleId="BalloonText">
    <w:name w:val="Balloon Text"/>
    <w:basedOn w:val="Normal"/>
    <w:link w:val="BalloonTextChar"/>
    <w:rsid w:val="00E13865"/>
    <w:rPr>
      <w:rFonts w:ascii="Tahoma" w:hAnsi="Tahoma" w:cs="Tahoma"/>
      <w:sz w:val="16"/>
      <w:szCs w:val="16"/>
    </w:rPr>
  </w:style>
  <w:style w:type="character" w:customStyle="1" w:styleId="BalloonTextChar">
    <w:name w:val="Balloon Text Char"/>
    <w:basedOn w:val="DefaultParagraphFont"/>
    <w:link w:val="BalloonText"/>
    <w:rsid w:val="00E138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38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38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3865"/>
    <w:rPr>
      <w:b/>
      <w:color w:val="660033"/>
      <w:spacing w:val="0"/>
    </w:rPr>
  </w:style>
  <w:style w:type="paragraph" w:customStyle="1" w:styleId="Nameditemlist">
    <w:name w:val="Named item list"/>
    <w:basedOn w:val="BodyText"/>
    <w:qFormat/>
    <w:rsid w:val="00E1386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805</Words>
  <Characters>5056</Characters>
  <Application>Microsoft Office Word</Application>
  <DocSecurity>0</DocSecurity>
  <Lines>223</Lines>
  <Paragraphs>121</Paragraphs>
  <ScaleCrop>false</ScaleCrop>
  <Company>Author-it Software Corporation Ltd.</Company>
  <LinksUpToDate>false</LinksUpToDate>
  <CharactersWithSpaces>5804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MSFSL5002 Remove heritage leadlight and stained glass</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2016-12-09T03:31:00Z</dcterms:created>
  <dcterms:modified xsi:type="dcterms:W3CDTF">2016-12-09T03:31:00Z</dcterms:modified>
</cp:coreProperties>
</file>