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5A6" w:rsidP="00BD35A6">
      <w:pPr>
        <w:pStyle w:val="Title"/>
      </w:pPr>
      <w:r>
        <w:fldChar w:fldCharType="begin"/>
      </w:r>
      <w:r>
        <w:instrText xml:space="preserve"> TITLE   \* MERGEFORMAT </w:instrText>
      </w:r>
      <w:r>
        <w:fldChar w:fldCharType="separate"/>
      </w:r>
      <w:r>
        <w:t>MSFSL5002 Remove heritage leadlight and stained glass</w:t>
      </w:r>
      <w:r>
        <w:fldChar w:fldCharType="end"/>
      </w:r>
    </w:p>
    <w:p w:rsidR="00BD35A6" w:rsidP="00BD35A6">
      <w:pPr>
        <w:pStyle w:val="Version"/>
        <w:sectPr w:rsidSect="003E3E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EAA" w:rsidP="003E3EAA">
      <w:pPr>
        <w:pStyle w:val="SuperHeading"/>
      </w:pPr>
      <w:r w:rsidRPr="003E3EAA">
        <w:t>MSFSL5002 Remove heritage leadlight and stained glass</w:t>
      </w:r>
    </w:p>
    <w:p w:rsidR="00000000" w:rsidRPr="003E3EAA" w:rsidP="003E3EAA">
      <w:pPr>
        <w:pStyle w:val="Heading1"/>
      </w:pPr>
      <w:bookmarkStart w:id="1" w:name="O_621559"/>
      <w:bookmarkEnd w:id="1"/>
      <w:r w:rsidRPr="003E3EAA">
        <w:t>Modification History</w:t>
      </w:r>
    </w:p>
    <w:p w:rsidR="00000000" w:rsidRPr="003E3EAA" w:rsidP="00BD35A6">
      <w:pPr>
        <w:pStyle w:val="BodyText"/>
      </w:pPr>
      <w:r w:rsidRPr="003E3EAA">
        <w:t>Release 1 - New unit of competency</w:t>
      </w:r>
    </w:p>
    <w:p w:rsidR="00000000" w:rsidRPr="003E3EAA" w:rsidP="003E3EAA">
      <w:pPr>
        <w:pStyle w:val="Heading1"/>
      </w:pPr>
      <w:bookmarkStart w:id="2" w:name="O_621567"/>
      <w:bookmarkEnd w:id="2"/>
      <w:r w:rsidRPr="003E3EAA">
        <w:t>Application</w:t>
      </w:r>
    </w:p>
    <w:p w:rsidR="00000000" w:rsidRPr="003E3EAA" w:rsidP="00BD35A6">
      <w:pPr>
        <w:pStyle w:val="BodyText"/>
      </w:pPr>
      <w:r w:rsidRPr="003E3EAA">
        <w:t>This unit of competency covers removing heritage leadlight and stained glass panels in order to conserve them.</w:t>
      </w:r>
    </w:p>
    <w:p w:rsidR="00000000" w:rsidRPr="003E3EAA" w:rsidP="00BD35A6">
      <w:pPr>
        <w:pStyle w:val="BodyText"/>
      </w:pPr>
      <w:r w:rsidRPr="003E3EAA">
        <w:t>Licensing, legislative or certification req</w:t>
      </w:r>
      <w:r w:rsidRPr="003E3EAA">
        <w:t>uirements may apply to this unit and relevant state/territory and local government agencies should be consulted to determine any necessary certification or licensing for undertaking glass and glazing work. Access to construction sites requires certificatio</w:t>
      </w:r>
      <w:r w:rsidRPr="003E3EAA">
        <w:t xml:space="preserve">n of general induction training specified by the </w:t>
      </w:r>
      <w:r w:rsidRPr="003E3EAA">
        <w:rPr>
          <w:rStyle w:val="Emphasis"/>
        </w:rPr>
        <w:t>National Code of Practice for Induction for Construction Work (ASCC 2007)</w:t>
      </w:r>
      <w:r w:rsidRPr="003E3EAA">
        <w:t>.</w:t>
      </w:r>
    </w:p>
    <w:p w:rsidR="00000000" w:rsidRPr="003E3EAA" w:rsidP="003E3EAA">
      <w:pPr>
        <w:pStyle w:val="Heading1"/>
      </w:pPr>
      <w:bookmarkStart w:id="3" w:name="O_621566"/>
      <w:bookmarkEnd w:id="3"/>
      <w:r w:rsidRPr="003E3EAA">
        <w:t>Pre-requisite Unit</w:t>
      </w:r>
    </w:p>
    <w:p w:rsidR="00000000" w:rsidRPr="003E3EAA" w:rsidP="003E3EAA">
      <w:pPr>
        <w:pStyle w:val="Heading1"/>
      </w:pPr>
      <w:bookmarkStart w:id="4" w:name="O_621565"/>
      <w:bookmarkEnd w:id="4"/>
      <w:r w:rsidRPr="003E3EAA">
        <w:t>Competency Field</w:t>
      </w:r>
    </w:p>
    <w:p w:rsidR="00000000" w:rsidRPr="003E3EAA" w:rsidP="003E3EAA">
      <w:pPr>
        <w:pStyle w:val="Heading1"/>
      </w:pPr>
      <w:bookmarkStart w:id="5" w:name="O_621564"/>
      <w:bookmarkEnd w:id="5"/>
      <w:r w:rsidRPr="003E3EAA">
        <w:t>Unit Sector</w:t>
      </w:r>
    </w:p>
    <w:p w:rsidR="00000000" w:rsidRPr="003E3EAA" w:rsidP="00BD35A6">
      <w:pPr>
        <w:pStyle w:val="BodyText"/>
      </w:pPr>
      <w:r w:rsidRPr="003E3EAA">
        <w:t>Leadlight and Stained Glass</w:t>
      </w:r>
    </w:p>
    <w:p w:rsidR="00000000" w:rsidRPr="003E3EAA" w:rsidP="003E3EAA">
      <w:pPr>
        <w:pStyle w:val="Heading1"/>
      </w:pPr>
      <w:bookmarkStart w:id="6" w:name="O_621563"/>
      <w:bookmarkEnd w:id="6"/>
      <w:r w:rsidRPr="003E3EAA">
        <w:t>Elements and Performance Criteria</w:t>
      </w:r>
    </w:p>
    <w:tbl>
      <w:tblPr>
        <w:tblW w:w="0" w:type="auto"/>
        <w:tblLayout w:type="fixed"/>
        <w:tblCellMar>
          <w:left w:w="62" w:type="dxa"/>
          <w:right w:w="62" w:type="dxa"/>
        </w:tblCellMar>
        <w:tblLook w:val="0000"/>
      </w:tblPr>
      <w:tblGrid>
        <w:gridCol w:w="630"/>
        <w:gridCol w:w="2129"/>
        <w:gridCol w:w="751"/>
        <w:gridCol w:w="5670"/>
      </w:tblGrid>
      <w:tr w:rsidTr="003E3EAA">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Performance criteria describe the performance needed to demonstrate achievement of the element.</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1</w:t>
            </w:r>
          </w:p>
        </w:tc>
        <w:tc>
          <w:tcPr>
            <w:tcW w:w="2129"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Identify panel removal requirements</w:t>
            </w: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1.1</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Applicable work health and safety (WHS), legislative and organisational requirements relevant to heritage leadlight and stained glass operations are verified and complied with</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1.2</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Purpose of the removal is established confirmed and clarified with approp</w:t>
            </w:r>
            <w:r w:rsidRPr="003E3EAA">
              <w:t xml:space="preserve">riate personnel </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1.3</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 xml:space="preserve">Removal outcomes are identified and confirmed </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2</w:t>
            </w:r>
          </w:p>
        </w:tc>
        <w:tc>
          <w:tcPr>
            <w:tcW w:w="2129"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Plan removal processes</w:t>
            </w: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2.1</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Location of the leadlight and stained glass panel to be removed is identified and observed</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2.2</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 xml:space="preserve">Removal sequence is identified and a work plan is developed </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2.3</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Tools and equipment required for the removal are identified</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2.4</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Approval of removal plan is obtained as required by agreed procedures</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3</w:t>
            </w:r>
          </w:p>
        </w:tc>
        <w:tc>
          <w:tcPr>
            <w:tcW w:w="2129"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Prepare for removal</w:t>
            </w: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3.1</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Tools and equipment are assembled, positioned and checked prior to use to ensure they are appropriate for the removal, serviceable and in a safe condition</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3.2</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 xml:space="preserve">Supporting frames and storage materials are prepared and positioned </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3.3</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Plans and other do</w:t>
            </w:r>
            <w:r w:rsidRPr="003E3EAA">
              <w:t>cuments are assembled and positioned to allow for confirmation of the panel structure and placement</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3.4</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Photographs are taken of the panel for later reference</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4</w:t>
            </w:r>
          </w:p>
        </w:tc>
        <w:tc>
          <w:tcPr>
            <w:tcW w:w="2129"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Remove the panel</w:t>
            </w: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4.1</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Supporting frames are secured to the panel</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4.2</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 xml:space="preserve">Panel structural supports are removed and stored </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4.3</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Panel is removed and placed in the storage area or crated for transport</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4.4</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 xml:space="preserve">Any structural damage is identified and noted </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5</w:t>
            </w:r>
          </w:p>
        </w:tc>
        <w:tc>
          <w:tcPr>
            <w:tcW w:w="2129"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Finalise and report on the removal</w:t>
            </w: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5.1</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Removed panel is inspected</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5.2</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Tools and equipment are removed</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5.3</w:t>
            </w:r>
          </w:p>
        </w:tc>
        <w:tc>
          <w:tcPr>
            <w:tcW w:w="567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Removal area is cleaned and rubbish disposed of</w:t>
            </w:r>
          </w:p>
        </w:tc>
      </w:tr>
      <w:tr w:rsidTr="003E3EAA">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5.4</w:t>
            </w:r>
          </w:p>
        </w:tc>
        <w:tc>
          <w:tcPr>
            <w:tcW w:w="5670" w:type="dxa"/>
            <w:tcBorders>
              <w:top w:val="nil"/>
              <w:left w:val="nil"/>
              <w:bottom w:val="nil"/>
              <w:right w:val="nil"/>
            </w:tcBorders>
            <w:tcMar>
              <w:top w:w="0" w:type="dxa"/>
              <w:left w:w="62" w:type="dxa"/>
              <w:bottom w:w="0" w:type="dxa"/>
              <w:right w:w="62" w:type="dxa"/>
            </w:tcMar>
          </w:tcPr>
          <w:p w:rsidR="00000000" w:rsidRPr="003E3EAA" w:rsidP="003E3EAA">
            <w:pPr>
              <w:pStyle w:val="BodyText"/>
            </w:pPr>
            <w:r w:rsidRPr="003E3EAA">
              <w:t>Removal report is prepared and provided</w:t>
            </w:r>
          </w:p>
        </w:tc>
      </w:tr>
    </w:tbl>
    <w:p w:rsidR="00000000" w:rsidRPr="003E3EAA" w:rsidP="003E3EAA">
      <w:pPr>
        <w:pStyle w:val="BodyText"/>
      </w:pPr>
    </w:p>
    <w:p w:rsidR="00000000" w:rsidRPr="003E3EAA" w:rsidP="003E3EAA">
      <w:pPr>
        <w:pStyle w:val="AllowPageBreak"/>
      </w:pPr>
    </w:p>
    <w:p w:rsidR="00000000" w:rsidRPr="003E3EAA" w:rsidP="003E3EAA">
      <w:pPr>
        <w:pStyle w:val="Heading1"/>
      </w:pPr>
      <w:bookmarkStart w:id="7" w:name="O_621562"/>
      <w:bookmarkEnd w:id="7"/>
      <w:r w:rsidRPr="003E3EAA">
        <w:t>Foundation Skills</w:t>
      </w:r>
    </w:p>
    <w:p w:rsidR="00000000" w:rsidRPr="003E3EAA" w:rsidP="00BD35A6">
      <w:pPr>
        <w:pStyle w:val="BodyText"/>
      </w:pPr>
      <w:r w:rsidRPr="003E3EAA">
        <w:t>Foundation skills essential to performance are explicit in the performance criter</w:t>
      </w:r>
      <w:r w:rsidRPr="003E3EAA">
        <w:t>ia of this unit of competency. Detail on appropriate performance levels for each furnishing unit of competency in reading, writing, oral communication and numeracy utilising the Australian Core Skills Framework (ACSF) are provided in the Furnishing Trainin</w:t>
      </w:r>
      <w:r w:rsidRPr="003E3EAA">
        <w:t>g Package Implementation Guide.</w:t>
      </w:r>
    </w:p>
    <w:p w:rsidR="00000000" w:rsidRPr="003E3EAA" w:rsidP="003E3EAA">
      <w:pPr>
        <w:pStyle w:val="Heading1"/>
      </w:pPr>
      <w:bookmarkStart w:id="8" w:name="O_621561"/>
      <w:bookmarkEnd w:id="8"/>
      <w:r w:rsidRPr="003E3EAA">
        <w:t>Range of Conditions</w:t>
      </w:r>
    </w:p>
    <w:tbl>
      <w:tblPr>
        <w:tblW w:w="0" w:type="auto"/>
        <w:tblLayout w:type="fixed"/>
        <w:tblCellMar>
          <w:left w:w="62" w:type="dxa"/>
          <w:right w:w="62" w:type="dxa"/>
        </w:tblCellMar>
        <w:tblLook w:val="0000"/>
      </w:tblPr>
      <w:tblGrid>
        <w:gridCol w:w="2760"/>
        <w:gridCol w:w="6312"/>
      </w:tblGrid>
      <w:tr w:rsidTr="003E3E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t xml:space="preserve">Specifies different work environments and conditions that may affect performance. Essential operating conditions that may be present (depending on the work </w:t>
            </w:r>
            <w:r w:rsidRPr="003E3EAA">
              <w:t>situation, needs of the candidate, accessibility of the item, and local industry and regional contexts) are included. Range is restricted to essential operating conditions and any other variables essential to the work environment.</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 xml:space="preserve">WHS requirements, including legislation, building codes, material safety management systems, hazardous and dangerous goods codes, and local safe operating procedures or equivalent </w:t>
            </w:r>
          </w:p>
          <w:p w:rsidR="00000000" w:rsidRPr="003E3EAA" w:rsidP="003E3EAA">
            <w:pPr>
              <w:pStyle w:val="ListBullet"/>
            </w:pPr>
            <w:r w:rsidRPr="003E3EAA">
              <w:t>work is carried out in accordance with legislative obligations, environmen</w:t>
            </w:r>
            <w:r w:rsidRPr="003E3EAA">
              <w:t>tal legislation, relevant health regulations, manual handling procedures and organisation insurance requirements</w:t>
            </w:r>
          </w:p>
          <w:p w:rsidR="00000000" w:rsidP="003E3EAA">
            <w:pPr>
              <w:pStyle w:val="ListBullet"/>
              <w:rPr>
                <w:lang w:val="en-NZ"/>
              </w:rPr>
            </w:pPr>
            <w:r w:rsidRPr="003E3EAA">
              <w:t>work requires individuals to demonstrate discretion and apply judgement and problem solving to complex issues</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clients</w:t>
            </w:r>
          </w:p>
          <w:p w:rsidR="00000000" w:rsidRPr="003E3EAA" w:rsidP="003E3EAA">
            <w:pPr>
              <w:pStyle w:val="ListBullet"/>
            </w:pPr>
            <w:r w:rsidRPr="003E3EAA">
              <w:t xml:space="preserve">architects </w:t>
            </w:r>
          </w:p>
          <w:p w:rsidR="00000000" w:rsidRPr="003E3EAA" w:rsidP="003E3EAA">
            <w:pPr>
              <w:pStyle w:val="ListBullet"/>
            </w:pPr>
            <w:r w:rsidRPr="003E3EAA">
              <w:t>engineers</w:t>
            </w:r>
          </w:p>
          <w:p w:rsidR="00000000" w:rsidRPr="003E3EAA" w:rsidP="003E3EAA">
            <w:pPr>
              <w:pStyle w:val="ListBullet"/>
            </w:pPr>
            <w:r w:rsidRPr="003E3EAA">
              <w:t xml:space="preserve">construction supervisors </w:t>
            </w:r>
          </w:p>
          <w:p w:rsidR="00000000" w:rsidRPr="003E3EAA" w:rsidP="003E3EAA">
            <w:pPr>
              <w:pStyle w:val="ListBullet"/>
            </w:pPr>
            <w:r w:rsidRPr="003E3EAA">
              <w:t xml:space="preserve">members of heritage committees </w:t>
            </w:r>
          </w:p>
          <w:p w:rsidR="00000000" w:rsidRPr="003E3EAA" w:rsidP="003E3EAA">
            <w:pPr>
              <w:pStyle w:val="ListBullet"/>
            </w:pPr>
            <w:r w:rsidRPr="003E3EAA">
              <w:t xml:space="preserve">government agencies </w:t>
            </w:r>
          </w:p>
          <w:p w:rsidR="00000000" w:rsidP="003E3EAA">
            <w:pPr>
              <w:pStyle w:val="ListBullet"/>
              <w:rPr>
                <w:lang w:val="en-NZ"/>
              </w:rPr>
            </w:pPr>
            <w:r w:rsidRPr="003E3EAA">
              <w:t xml:space="preserve">other specialist artisans, such as stonemasons </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Removal outcomes include:</w:t>
            </w: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the requirement to dismantle, move and store leadlight or stained glass</w:t>
            </w:r>
            <w:r w:rsidRPr="003E3EAA">
              <w:t xml:space="preserve"> panels prior to any conservation work being undertaken </w:t>
            </w:r>
          </w:p>
          <w:p w:rsidR="00000000" w:rsidP="003E3EAA">
            <w:pPr>
              <w:pStyle w:val="BodyText"/>
              <w:rPr>
                <w:lang w:val="en-NZ"/>
              </w:rPr>
            </w:pPr>
            <w:r w:rsidRPr="003E3EAA">
              <w:t>dismantling the panel without further damage as it is being removed</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 xml:space="preserve">work benches </w:t>
            </w:r>
          </w:p>
          <w:p w:rsidR="00000000" w:rsidRPr="003E3EAA" w:rsidP="003E3EAA">
            <w:pPr>
              <w:pStyle w:val="ListBullet"/>
            </w:pPr>
            <w:r w:rsidRPr="003E3EAA">
              <w:t xml:space="preserve">ladders and scaffolding </w:t>
            </w:r>
          </w:p>
          <w:p w:rsidR="00000000" w:rsidRPr="003E3EAA" w:rsidP="003E3EAA">
            <w:pPr>
              <w:pStyle w:val="ListBullet"/>
            </w:pPr>
            <w:r w:rsidRPr="003E3EAA">
              <w:t xml:space="preserve">cameras </w:t>
            </w:r>
          </w:p>
          <w:p w:rsidR="00000000" w:rsidRPr="003E3EAA" w:rsidP="003E3EAA">
            <w:pPr>
              <w:pStyle w:val="ListBullet"/>
            </w:pPr>
            <w:r w:rsidRPr="003E3EAA">
              <w:t xml:space="preserve">magnifying glasses </w:t>
            </w:r>
          </w:p>
          <w:p w:rsidR="00000000" w:rsidRPr="003E3EAA" w:rsidP="003E3EAA">
            <w:pPr>
              <w:pStyle w:val="ListBullet"/>
            </w:pPr>
            <w:r w:rsidRPr="003E3EAA">
              <w:t xml:space="preserve">lights </w:t>
            </w:r>
          </w:p>
          <w:p w:rsidR="00000000" w:rsidRPr="003E3EAA" w:rsidP="003E3EAA">
            <w:pPr>
              <w:pStyle w:val="ListBullet"/>
            </w:pPr>
            <w:r w:rsidRPr="003E3EAA">
              <w:t xml:space="preserve">cranes </w:t>
            </w:r>
          </w:p>
          <w:p w:rsidR="00000000" w:rsidRPr="003E3EAA" w:rsidP="003E3EAA">
            <w:pPr>
              <w:pStyle w:val="ListBullet"/>
            </w:pPr>
            <w:r w:rsidRPr="003E3EAA">
              <w:t xml:space="preserve">forklifts </w:t>
            </w:r>
          </w:p>
          <w:p w:rsidR="00000000" w:rsidP="003E3EAA">
            <w:pPr>
              <w:pStyle w:val="ListBullet"/>
              <w:rPr>
                <w:lang w:val="en-NZ"/>
              </w:rPr>
            </w:pPr>
            <w:r w:rsidRPr="003E3EAA">
              <w:t>general hand tools</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Supporting frames include:</w:t>
            </w:r>
          </w:p>
        </w:tc>
        <w:tc>
          <w:tcPr>
            <w:tcW w:w="6312" w:type="dxa"/>
            <w:tcBorders>
              <w:top w:val="nil"/>
              <w:left w:val="nil"/>
              <w:bottom w:val="nil"/>
              <w:right w:val="nil"/>
            </w:tcBorders>
            <w:tcMar>
              <w:top w:w="0" w:type="dxa"/>
              <w:left w:w="62" w:type="dxa"/>
              <w:bottom w:w="0" w:type="dxa"/>
              <w:right w:w="62" w:type="dxa"/>
            </w:tcMar>
          </w:tcPr>
          <w:p w:rsidR="00000000" w:rsidP="003E3EAA">
            <w:pPr>
              <w:pStyle w:val="ListBullet"/>
              <w:rPr>
                <w:lang w:val="en-NZ"/>
              </w:rPr>
            </w:pPr>
            <w:r w:rsidRPr="003E3EAA">
              <w:t>wooden or metal frames that support the leadlight and stained glass panels during the removal process</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Storage materials include:</w:t>
            </w: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 xml:space="preserve">boxes </w:t>
            </w:r>
          </w:p>
          <w:p w:rsidR="00000000" w:rsidP="003E3EAA">
            <w:pPr>
              <w:pStyle w:val="BodyText"/>
              <w:rPr>
                <w:lang w:val="en-NZ"/>
              </w:rPr>
            </w:pPr>
            <w:r w:rsidRPr="003E3EAA">
              <w:t>frames, crates and other materials used to store and protect the leadlight and stained glass panel following removal and while being transported</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Plans and other documents include:</w:t>
            </w: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original architectural plans</w:t>
            </w:r>
          </w:p>
          <w:p w:rsidR="00000000" w:rsidRPr="003E3EAA" w:rsidP="003E3EAA">
            <w:pPr>
              <w:pStyle w:val="ListBullet"/>
            </w:pPr>
            <w:r w:rsidRPr="003E3EAA">
              <w:t xml:space="preserve">original drawings, cartoons and cut lines of </w:t>
            </w:r>
            <w:r w:rsidRPr="003E3EAA">
              <w:t>the glass panel</w:t>
            </w:r>
          </w:p>
          <w:p w:rsidR="00000000" w:rsidP="003E3EAA">
            <w:pPr>
              <w:pStyle w:val="ListBullet"/>
              <w:rPr>
                <w:lang w:val="en-NZ"/>
              </w:rPr>
            </w:pPr>
            <w:r w:rsidRPr="003E3EAA">
              <w:t>historical photographs, charcoal rubbings and sketches</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Removal report includes:</w:t>
            </w: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 xml:space="preserve">the extent of any damage to the surrounding building or fixture </w:t>
            </w:r>
          </w:p>
          <w:p w:rsidR="00000000" w:rsidRPr="003E3EAA" w:rsidP="003E3EAA">
            <w:pPr>
              <w:pStyle w:val="ListBullet"/>
            </w:pPr>
            <w:r w:rsidRPr="003E3EAA">
              <w:t xml:space="preserve">any damage to the panel </w:t>
            </w:r>
          </w:p>
          <w:p w:rsidR="00000000" w:rsidP="003E3EAA">
            <w:pPr>
              <w:pStyle w:val="ListBullet"/>
              <w:rPr>
                <w:lang w:val="en-NZ"/>
              </w:rPr>
            </w:pPr>
            <w:r w:rsidRPr="003E3EAA">
              <w:t xml:space="preserve">any recommendations as to future requirements </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E3EAA" w:rsidP="003E3EAA">
            <w:pPr>
              <w:pStyle w:val="BodyText"/>
            </w:pPr>
            <w:r w:rsidRPr="003E3EAA">
              <w:rPr>
                <w:rStyle w:val="SpecialBold"/>
              </w:rPr>
              <w:t xml:space="preserve">Personal protective </w:t>
            </w:r>
            <w:r w:rsidRPr="003E3EAA">
              <w:rPr>
                <w:rStyle w:val="SpecialBold"/>
              </w:rPr>
              <w:t>equipment includes:</w:t>
            </w:r>
          </w:p>
          <w:p w:rsidR="00000000" w:rsidP="003E3EA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that prescribed under legislation, regulation and enterprise policies and practices:</w:t>
            </w:r>
          </w:p>
          <w:p w:rsidR="00000000" w:rsidRPr="003E3EAA" w:rsidP="003E3EAA">
            <w:pPr>
              <w:pStyle w:val="ListBullet2"/>
            </w:pPr>
            <w:r w:rsidRPr="003E3EAA">
              <w:t>gauntlets</w:t>
            </w:r>
          </w:p>
          <w:p w:rsidR="00000000" w:rsidRPr="003E3EAA" w:rsidP="003E3EAA">
            <w:pPr>
              <w:pStyle w:val="ListBullet2"/>
            </w:pPr>
            <w:r w:rsidRPr="003E3EAA">
              <w:t>gloves</w:t>
            </w:r>
          </w:p>
          <w:p w:rsidR="00000000" w:rsidRPr="003E3EAA" w:rsidP="003E3EAA">
            <w:pPr>
              <w:pStyle w:val="ListBullet2"/>
            </w:pPr>
            <w:r w:rsidRPr="003E3EAA">
              <w:t>safety glasses</w:t>
            </w:r>
          </w:p>
          <w:p w:rsidR="00000000" w:rsidRPr="003E3EAA" w:rsidP="003E3EAA">
            <w:pPr>
              <w:pStyle w:val="ListBullet2"/>
            </w:pPr>
            <w:r w:rsidRPr="003E3EAA">
              <w:t>hard hats</w:t>
            </w:r>
          </w:p>
          <w:p w:rsidR="00000000" w:rsidRPr="003E3EAA" w:rsidP="003E3EAA">
            <w:pPr>
              <w:pStyle w:val="ListBullet2"/>
            </w:pPr>
            <w:r w:rsidRPr="003E3EAA">
              <w:t>safety footwear</w:t>
            </w:r>
          </w:p>
          <w:p w:rsidR="00000000" w:rsidP="003E3EAA">
            <w:pPr>
              <w:pStyle w:val="ListBullet2"/>
              <w:rPr>
                <w:lang w:val="en-NZ"/>
              </w:rPr>
            </w:pPr>
            <w:r w:rsidRPr="003E3EAA">
              <w:t>aprons and overalls</w:t>
            </w:r>
          </w:p>
        </w:tc>
      </w:tr>
      <w:tr w:rsidTr="003E3EA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EAA">
            <w:pPr>
              <w:pStyle w:val="BodyText"/>
              <w:rPr>
                <w:lang w:val="en-NZ"/>
              </w:rPr>
            </w:pPr>
            <w:r w:rsidRPr="003E3EAA">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E3EAA" w:rsidP="003E3EAA">
            <w:pPr>
              <w:pStyle w:val="ListBullet"/>
            </w:pPr>
            <w:r w:rsidRPr="003E3EAA">
              <w:t xml:space="preserve">workplace procedures relating to the use of tools and equipment and personal protective equipment </w:t>
            </w:r>
          </w:p>
          <w:p w:rsidR="00000000" w:rsidRPr="003E3EAA" w:rsidP="003E3EAA">
            <w:pPr>
              <w:pStyle w:val="ListBullet"/>
            </w:pPr>
            <w:r w:rsidRPr="003E3EAA">
              <w:t xml:space="preserve">work instructions, including job sheets, cutting lists, plans, drawings and designs </w:t>
            </w:r>
          </w:p>
          <w:p w:rsidR="00000000" w:rsidRPr="003E3EAA" w:rsidP="003E3EAA">
            <w:pPr>
              <w:pStyle w:val="ListBullet"/>
            </w:pPr>
            <w:r w:rsidRPr="003E3EAA">
              <w:t xml:space="preserve">workplace procedures relating to reporting and communication </w:t>
            </w:r>
          </w:p>
          <w:p w:rsidR="00000000" w:rsidRPr="003E3EAA" w:rsidP="003E3EAA">
            <w:pPr>
              <w:pStyle w:val="ListBullet"/>
            </w:pPr>
            <w:r w:rsidRPr="003E3EAA">
              <w:t>manufactur</w:t>
            </w:r>
            <w:r w:rsidRPr="003E3EAA">
              <w:t>er specifications and operational procedures</w:t>
            </w:r>
          </w:p>
        </w:tc>
      </w:tr>
    </w:tbl>
    <w:p w:rsidR="00000000" w:rsidRPr="003E3EAA" w:rsidP="003E3EAA">
      <w:pPr>
        <w:pStyle w:val="BodyText"/>
      </w:pPr>
    </w:p>
    <w:p w:rsidR="00000000" w:rsidRPr="003E3EAA" w:rsidP="003E3EAA">
      <w:pPr>
        <w:pStyle w:val="AllowPageBreak"/>
      </w:pPr>
    </w:p>
    <w:p w:rsidR="00000000" w:rsidRPr="003E3EAA" w:rsidP="003E3EAA">
      <w:pPr>
        <w:pStyle w:val="Heading1"/>
      </w:pPr>
      <w:bookmarkStart w:id="9" w:name="O_621560"/>
      <w:bookmarkEnd w:id="9"/>
      <w:r w:rsidRPr="003E3EAA">
        <w:t>Unit Mapping Information</w:t>
      </w:r>
    </w:p>
    <w:p w:rsidR="00000000" w:rsidRPr="003E3EAA" w:rsidP="00BD35A6">
      <w:pPr>
        <w:pStyle w:val="BodyText"/>
      </w:pPr>
      <w:r w:rsidRPr="003E3EAA">
        <w:t>Supersedes and is equivalent to LMFSL5002B Remove heritage leadlight and stained glass.</w:t>
      </w:r>
    </w:p>
    <w:p w:rsidR="00000000" w:rsidRPr="003E3EAA" w:rsidP="003E3EAA">
      <w:pPr>
        <w:pStyle w:val="Heading1"/>
      </w:pPr>
      <w:bookmarkStart w:id="10" w:name="O_621553"/>
      <w:bookmarkEnd w:id="10"/>
      <w:r w:rsidRPr="003E3EAA">
        <w:t>Links</w:t>
      </w:r>
    </w:p>
    <w:p w:rsidR="00000000" w:rsidRPr="003E3EAA" w:rsidP="00BD35A6">
      <w:pPr>
        <w:pStyle w:val="BodyText"/>
      </w:pPr>
      <w:r w:rsidRPr="003E3EA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67425">
        <w:rPr>
          <w:rStyle w:val="Hyperlink"/>
        </w:rPr>
        <w:t>https://vetnet.gov.au/Pages/TrainingDocs.aspx?q=0601ab95-583a-4e93-b2d4-cfb27b03ed73</w:t>
      </w:r>
      <w:r>
        <w:fldChar w:fldCharType="end"/>
      </w:r>
    </w:p>
    <w:p w:rsidR="00000000" w:rsidRPr="003E3EAA" w:rsidP="00BD35A6">
      <w:pPr>
        <w:pStyle w:val="BodyText"/>
        <w:sectPr w:rsidSect="003E3EAA">
          <w:headerReference w:type="default" r:id="rId10"/>
          <w:footerReference w:type="default" r:id="rId11"/>
          <w:pgSz w:w="11908" w:h="16833"/>
          <w:pgMar w:top="1702" w:right="1418" w:bottom="1702" w:left="1418" w:header="992" w:footer="992" w:gutter="0"/>
          <w:cols w:space="720"/>
          <w:noEndnote/>
          <w:docGrid w:linePitch="299"/>
        </w:sectPr>
      </w:pPr>
    </w:p>
    <w:p w:rsidR="00000000" w:rsidRPr="003E3EAA" w:rsidP="003E3EAA">
      <w:pPr>
        <w:pStyle w:val="SuperHeading"/>
      </w:pPr>
      <w:r w:rsidRPr="003E3EAA">
        <w:t>Assessment Requirements for MSFSL5002 Remove he</w:t>
      </w:r>
      <w:r w:rsidRPr="003E3EAA">
        <w:t>ritage leadlight and stained glass</w:t>
      </w:r>
    </w:p>
    <w:p w:rsidR="00000000" w:rsidRPr="003E3EAA" w:rsidP="003E3EAA">
      <w:pPr>
        <w:pStyle w:val="Heading1"/>
      </w:pPr>
      <w:bookmarkStart w:id="11" w:name="O_621555"/>
      <w:bookmarkEnd w:id="11"/>
      <w:r w:rsidRPr="003E3EAA">
        <w:t>Modification History</w:t>
      </w:r>
    </w:p>
    <w:p w:rsidR="00000000" w:rsidRPr="003E3EAA" w:rsidP="00BD35A6">
      <w:pPr>
        <w:pStyle w:val="BodyText"/>
      </w:pPr>
      <w:r w:rsidRPr="003E3EAA">
        <w:t>Release 1 - New unit of competency</w:t>
      </w:r>
    </w:p>
    <w:p w:rsidR="00000000" w:rsidRPr="003E3EAA" w:rsidP="003E3EAA">
      <w:pPr>
        <w:pStyle w:val="Heading1"/>
      </w:pPr>
      <w:bookmarkStart w:id="12" w:name="O_621558"/>
      <w:bookmarkEnd w:id="12"/>
      <w:r w:rsidRPr="003E3EAA">
        <w:t>Performance Evidence</w:t>
      </w:r>
    </w:p>
    <w:p w:rsidR="00000000" w:rsidRPr="003E3EAA" w:rsidP="003E3EAA">
      <w:pPr>
        <w:pStyle w:val="ListBullet"/>
      </w:pPr>
      <w:r w:rsidRPr="003E3EAA">
        <w:t xml:space="preserve">Interpret work order and locate and apply relevant information </w:t>
      </w:r>
    </w:p>
    <w:p w:rsidR="00000000" w:rsidRPr="003E3EAA" w:rsidP="003E3EAA">
      <w:pPr>
        <w:pStyle w:val="ListBullet"/>
      </w:pPr>
      <w:r w:rsidRPr="003E3EAA">
        <w:t>Apply safe handling requirements for equipment</w:t>
      </w:r>
      <w:r w:rsidRPr="003E3EAA">
        <w:t xml:space="preserve">, products and materials, including use of personal protective equipment </w:t>
      </w:r>
    </w:p>
    <w:p w:rsidR="00000000" w:rsidRPr="003E3EAA" w:rsidP="003E3EAA">
      <w:pPr>
        <w:pStyle w:val="ListBullet"/>
      </w:pPr>
      <w:r w:rsidRPr="003E3EAA">
        <w:t xml:space="preserve">Identify materials used in the work process </w:t>
      </w:r>
    </w:p>
    <w:p w:rsidR="00000000" w:rsidRPr="003E3EAA" w:rsidP="003E3EAA">
      <w:pPr>
        <w:pStyle w:val="ListBullet"/>
      </w:pPr>
      <w:r w:rsidRPr="003E3EAA">
        <w:t xml:space="preserve">Follow work instructions, operating procedures and inspection processes to: </w:t>
      </w:r>
    </w:p>
    <w:p w:rsidR="00000000" w:rsidRPr="003E3EAA" w:rsidP="003E3EAA">
      <w:pPr>
        <w:pStyle w:val="ListBullet2"/>
      </w:pPr>
      <w:r w:rsidRPr="003E3EAA">
        <w:t xml:space="preserve">minimise the risk of injury to self or others </w:t>
      </w:r>
    </w:p>
    <w:p w:rsidR="00000000" w:rsidRPr="003E3EAA" w:rsidP="003E3EAA">
      <w:pPr>
        <w:pStyle w:val="ListBullet2"/>
      </w:pPr>
      <w:r w:rsidRPr="003E3EAA">
        <w:t xml:space="preserve">prevent damage to goods, equipment and products </w:t>
      </w:r>
    </w:p>
    <w:p w:rsidR="00000000" w:rsidRPr="003E3EAA" w:rsidP="003E3EAA">
      <w:pPr>
        <w:pStyle w:val="ListBullet2"/>
      </w:pPr>
      <w:r w:rsidRPr="003E3EAA">
        <w:t xml:space="preserve">maintain required production output and product quality </w:t>
      </w:r>
    </w:p>
    <w:p w:rsidR="00000000" w:rsidRPr="003E3EAA" w:rsidP="003E3EAA">
      <w:pPr>
        <w:pStyle w:val="ListBullet"/>
      </w:pPr>
      <w:r w:rsidRPr="003E3EAA">
        <w:t>Identify and interpret heritage legislation as it applies to leadlight and stained glass panels</w:t>
      </w:r>
    </w:p>
    <w:p w:rsidR="00000000" w:rsidRPr="003E3EAA" w:rsidP="003E3EAA">
      <w:pPr>
        <w:pStyle w:val="ListBullet"/>
      </w:pPr>
      <w:r w:rsidRPr="003E3EAA">
        <w:t>Identify historical leadlight and stained glass panel</w:t>
      </w:r>
      <w:r w:rsidRPr="003E3EAA">
        <w:t xml:space="preserve"> construction methods </w:t>
      </w:r>
    </w:p>
    <w:p w:rsidR="00000000" w:rsidRPr="003E3EAA" w:rsidP="003E3EAA">
      <w:pPr>
        <w:pStyle w:val="ListBullet"/>
      </w:pPr>
      <w:r w:rsidRPr="003E3EAA">
        <w:t>Identify framing, structural and construction techniques relevant to leadlight and stained glass panels</w:t>
      </w:r>
    </w:p>
    <w:p w:rsidR="00000000" w:rsidRPr="003E3EAA" w:rsidP="003E3EAA">
      <w:pPr>
        <w:pStyle w:val="ListBullet"/>
      </w:pPr>
      <w:r w:rsidRPr="003E3EAA">
        <w:t>Identify appropriate panel removal methodologies</w:t>
      </w:r>
    </w:p>
    <w:p w:rsidR="00000000" w:rsidRPr="003E3EAA" w:rsidP="003E3EAA">
      <w:pPr>
        <w:pStyle w:val="ListBullet"/>
      </w:pPr>
      <w:r w:rsidRPr="003E3EAA">
        <w:t xml:space="preserve">Remove a heritage leadlight and stained glass installation and store it to meet </w:t>
      </w:r>
      <w:r w:rsidRPr="003E3EAA">
        <w:t>conservation requirements on at least two (2) occasions</w:t>
      </w:r>
    </w:p>
    <w:p w:rsidR="00000000" w:rsidRPr="003E3EAA" w:rsidP="003E3EAA">
      <w:pPr>
        <w:pStyle w:val="ListBullet"/>
      </w:pPr>
      <w:r w:rsidRPr="003E3EAA">
        <w:t xml:space="preserve">Comply with legislation, regulations, standards, codes of practice and established safe practices and procedures for the removal of heritage leadlight and stained glass panels </w:t>
      </w:r>
    </w:p>
    <w:p w:rsidR="00000000" w:rsidRPr="003E3EAA" w:rsidP="003E3EAA">
      <w:pPr>
        <w:pStyle w:val="ListBullet"/>
      </w:pPr>
      <w:r w:rsidRPr="003E3EAA">
        <w:t xml:space="preserve">Use mathematical ideas </w:t>
      </w:r>
      <w:r w:rsidRPr="003E3EAA">
        <w:t xml:space="preserve">and techniques to correctly complete measurements, calculate area and estimate material requirements </w:t>
      </w:r>
    </w:p>
    <w:p w:rsidR="00000000" w:rsidRPr="003E3EAA" w:rsidP="003E3EAA">
      <w:pPr>
        <w:pStyle w:val="ListBullet"/>
      </w:pPr>
      <w:r w:rsidRPr="003E3EAA">
        <w:t>Communicate ideas and information to enable confirmation of work requirements and specifications and the reporting of work outcomes and problems, interpre</w:t>
      </w:r>
      <w:r w:rsidRPr="003E3EAA">
        <w:t xml:space="preserve">t basic plans and follow safety procedures </w:t>
      </w:r>
    </w:p>
    <w:p w:rsidR="00000000" w:rsidRPr="003E3EAA" w:rsidP="003E3EAA">
      <w:pPr>
        <w:pStyle w:val="ListBullet"/>
      </w:pPr>
      <w:r w:rsidRPr="003E3EAA">
        <w:t>Avoid backtracking, work flow interruptions or wastage</w:t>
      </w:r>
    </w:p>
    <w:p w:rsidR="00000000" w:rsidRPr="003E3EAA" w:rsidP="003E3EAA">
      <w:pPr>
        <w:pStyle w:val="ListBullet"/>
      </w:pPr>
      <w:r w:rsidRPr="003E3EAA">
        <w:t>Work with others and in a team by recognising dependencies and using cooperative approaches to optimise work flow and productivity</w:t>
      </w:r>
    </w:p>
    <w:p w:rsidR="00000000" w:rsidRPr="003E3EAA" w:rsidP="003E3EAA">
      <w:pPr>
        <w:pStyle w:val="AllowPageBreak"/>
      </w:pPr>
    </w:p>
    <w:p w:rsidR="00000000" w:rsidRPr="003E3EAA" w:rsidP="003E3EAA">
      <w:pPr>
        <w:pStyle w:val="Heading1"/>
      </w:pPr>
      <w:bookmarkStart w:id="13" w:name="O_621557"/>
      <w:bookmarkEnd w:id="13"/>
      <w:r w:rsidRPr="003E3EAA">
        <w:t>Knowledge Evidence</w:t>
      </w:r>
    </w:p>
    <w:p w:rsidR="00000000" w:rsidRPr="003E3EAA" w:rsidP="003E3EAA">
      <w:pPr>
        <w:pStyle w:val="ListBullet"/>
      </w:pPr>
      <w:r w:rsidRPr="003E3EAA">
        <w:t>State or territory WHS legislation, regulations, standards and codes of practice relevant to the full range of processes for leadlight and stained glass operations</w:t>
      </w:r>
    </w:p>
    <w:p w:rsidR="00000000" w:rsidRPr="003E3EAA" w:rsidP="003E3EAA">
      <w:pPr>
        <w:pStyle w:val="ListBullet"/>
      </w:pPr>
      <w:r w:rsidRPr="003E3EAA">
        <w:t>Leadlight and stained glass panels construction and repair terminology a</w:t>
      </w:r>
      <w:r w:rsidRPr="003E3EAA">
        <w:t>nd techniques</w:t>
      </w:r>
    </w:p>
    <w:p w:rsidR="00000000" w:rsidRPr="003E3EAA" w:rsidP="003E3EAA">
      <w:pPr>
        <w:pStyle w:val="ListBullet"/>
      </w:pPr>
      <w:r w:rsidRPr="003E3EAA">
        <w:t>The principles and guidelines of the Australia International Council on Monuments and Sites (ICOMOS) Burra Charter</w:t>
      </w:r>
    </w:p>
    <w:p w:rsidR="00000000" w:rsidRPr="003E3EAA" w:rsidP="003E3EAA">
      <w:pPr>
        <w:pStyle w:val="ListBullet"/>
      </w:pPr>
      <w:r w:rsidRPr="003E3EAA">
        <w:t>Organisational and site standards, requirements, policies and procedures for the removal of heritage leadlight and stained glas</w:t>
      </w:r>
      <w:r w:rsidRPr="003E3EAA">
        <w:t xml:space="preserve">s panels </w:t>
      </w:r>
    </w:p>
    <w:p w:rsidR="00000000" w:rsidRPr="003E3EAA" w:rsidP="003E3EAA">
      <w:pPr>
        <w:pStyle w:val="ListBullet"/>
      </w:pPr>
      <w:r w:rsidRPr="003E3EAA">
        <w:t>Types of glass and other materials historically used in the leadlight and stained glass industry, their characteristics, properties, uses and limitations</w:t>
      </w:r>
    </w:p>
    <w:p w:rsidR="00000000" w:rsidRPr="003E3EAA" w:rsidP="003E3EAA">
      <w:pPr>
        <w:pStyle w:val="ListBullet"/>
      </w:pPr>
      <w:r w:rsidRPr="003E3EAA">
        <w:t>Heritage requirements specific to leadlight and stained glass</w:t>
      </w:r>
    </w:p>
    <w:p w:rsidR="00000000" w:rsidRPr="003E3EAA" w:rsidP="003E3EAA">
      <w:pPr>
        <w:pStyle w:val="ListBullet"/>
      </w:pPr>
      <w:r w:rsidRPr="003E3EAA">
        <w:t>Engineering aspects of support</w:t>
      </w:r>
      <w:r w:rsidRPr="003E3EAA">
        <w:t xml:space="preserve">ing leadlight and stained glass panels during the removal process </w:t>
      </w:r>
    </w:p>
    <w:p w:rsidR="00000000" w:rsidRPr="003E3EAA" w:rsidP="003E3EAA">
      <w:pPr>
        <w:pStyle w:val="ListBullet"/>
      </w:pPr>
      <w:r w:rsidRPr="003E3EAA">
        <w:t>Established communication channels and protocols</w:t>
      </w:r>
    </w:p>
    <w:p w:rsidR="00000000" w:rsidRPr="003E3EAA" w:rsidP="003E3EAA">
      <w:pPr>
        <w:pStyle w:val="ListBullet"/>
      </w:pPr>
      <w:r w:rsidRPr="003E3EAA">
        <w:t>Relevant problem identification and resolution for heritage leadlight and stained glass</w:t>
      </w:r>
    </w:p>
    <w:p w:rsidR="00000000" w:rsidRPr="003E3EAA" w:rsidP="003E3EAA">
      <w:pPr>
        <w:pStyle w:val="ListBullet"/>
      </w:pPr>
      <w:r w:rsidRPr="003E3EAA">
        <w:t>Storage systems and labelling</w:t>
      </w:r>
    </w:p>
    <w:p w:rsidR="00000000" w:rsidRPr="003E3EAA" w:rsidP="003E3EAA">
      <w:pPr>
        <w:pStyle w:val="ListBullet"/>
      </w:pPr>
      <w:r w:rsidRPr="003E3EAA">
        <w:t>Procedures for the rec</w:t>
      </w:r>
      <w:r w:rsidRPr="003E3EAA">
        <w:t>ording, reporting and maintenance of workplace records and information</w:t>
      </w:r>
    </w:p>
    <w:p w:rsidR="00000000" w:rsidRPr="003E3EAA" w:rsidP="003E3EAA">
      <w:pPr>
        <w:pStyle w:val="ListBullet"/>
      </w:pPr>
      <w:r w:rsidRPr="003E3EAA">
        <w:t>Appropriate mathematical procedures for estimation and measurement</w:t>
      </w:r>
    </w:p>
    <w:p w:rsidR="00000000" w:rsidRPr="003E3EAA" w:rsidP="003E3EAA">
      <w:pPr>
        <w:pStyle w:val="AllowPageBreak"/>
      </w:pPr>
    </w:p>
    <w:p w:rsidR="00000000" w:rsidRPr="003E3EAA" w:rsidP="003E3EAA">
      <w:pPr>
        <w:pStyle w:val="Heading1"/>
      </w:pPr>
      <w:bookmarkStart w:id="14" w:name="O_621556"/>
      <w:bookmarkEnd w:id="14"/>
      <w:r w:rsidRPr="003E3EAA">
        <w:t>Assessment Conditions</w:t>
      </w:r>
    </w:p>
    <w:p w:rsidR="00000000" w:rsidRPr="003E3EAA" w:rsidP="003E3EAA">
      <w:pPr>
        <w:pStyle w:val="ListBullet"/>
      </w:pPr>
      <w:r w:rsidRPr="003E3EAA">
        <w:t>Assessors must:</w:t>
      </w:r>
    </w:p>
    <w:p w:rsidR="00000000" w:rsidRPr="003E3EAA" w:rsidP="003E3EAA">
      <w:pPr>
        <w:pStyle w:val="ListBullet2"/>
      </w:pPr>
      <w:r w:rsidRPr="003E3EAA">
        <w:t>hold training and assessment competencies as determined by th</w:t>
      </w:r>
      <w:r w:rsidRPr="003E3EAA">
        <w:t>e National Skills Standards Council (NSSC) or its successors</w:t>
      </w:r>
    </w:p>
    <w:p w:rsidR="00000000" w:rsidRPr="003E3EAA" w:rsidP="003E3EAA">
      <w:pPr>
        <w:pStyle w:val="ListBullet2"/>
      </w:pPr>
      <w:r w:rsidRPr="003E3EAA">
        <w:t xml:space="preserve">have vocational competency in the furnishing industry at least to the level being assessed with broad industry knowledge and experience, usually combined with a relevant industry qualification </w:t>
      </w:r>
    </w:p>
    <w:p w:rsidR="00000000" w:rsidRPr="003E3EAA" w:rsidP="003E3EAA">
      <w:pPr>
        <w:pStyle w:val="ListBullet2"/>
      </w:pPr>
      <w:r w:rsidRPr="003E3EAA">
        <w:t>be familiar with the current skills and knowledge used and have relevant, current experience in the furnishing industry.</w:t>
      </w:r>
    </w:p>
    <w:p w:rsidR="00000000" w:rsidRPr="003E3EAA" w:rsidP="003E3EAA">
      <w:pPr>
        <w:pStyle w:val="ListBullet"/>
      </w:pPr>
      <w:r w:rsidRPr="003E3EAA">
        <w:t>Assessment methods must confirm consistency of performance over time rather than a single assessment event and in a range of workplace</w:t>
      </w:r>
      <w:r w:rsidRPr="003E3EAA">
        <w:t xml:space="preserve"> relevant contexts. </w:t>
      </w:r>
    </w:p>
    <w:p w:rsidR="00000000" w:rsidRPr="003E3EAA" w:rsidP="003E3EAA">
      <w:pPr>
        <w:pStyle w:val="ListBullet"/>
      </w:pPr>
      <w:r w:rsidRPr="003E3EAA">
        <w:t xml:space="preserve">Assessment must be by observation of relevant tasks with questioning on underpinning knowledge and, where applicable, multimedia evidence, supervisor’s reports, projects and work samples. </w:t>
      </w:r>
    </w:p>
    <w:p w:rsidR="00000000" w:rsidRPr="003E3EAA" w:rsidP="003E3EAA">
      <w:pPr>
        <w:pStyle w:val="ListBullet"/>
      </w:pPr>
      <w:r w:rsidRPr="003E3EAA">
        <w:t xml:space="preserve">Assessment is to be conducted on single units </w:t>
      </w:r>
      <w:r w:rsidRPr="003E3EAA">
        <w:t>of competency or in conjunction with other related units of competency. Foundation skills are integral to competent performance in the unit and should not be assessed separately.</w:t>
      </w:r>
    </w:p>
    <w:p w:rsidR="00000000" w:rsidRPr="003E3EAA" w:rsidP="003E3EAA">
      <w:pPr>
        <w:pStyle w:val="ListBullet"/>
      </w:pPr>
      <w:r w:rsidRPr="003E3EAA">
        <w:t>Assessment must occur on the job or in a workplace simulated facility with re</w:t>
      </w:r>
      <w:r w:rsidRPr="003E3EAA">
        <w:t>levant process, equipment, materials, work instructions and deadlines.</w:t>
      </w:r>
    </w:p>
    <w:p w:rsidR="00000000" w:rsidRPr="003E3EAA" w:rsidP="003E3EAA">
      <w:pPr>
        <w:pStyle w:val="ListBullet"/>
      </w:pPr>
      <w:r w:rsidRPr="003E3EAA">
        <w:t>Access is required to a panel, materials, equipment and specifications relevant to the removal of heritage leadlight and stained glass panels to meet conservation requirements.</w:t>
      </w:r>
    </w:p>
    <w:p w:rsidR="00000000" w:rsidRPr="003E3EAA" w:rsidP="003E3EAA">
      <w:pPr>
        <w:pStyle w:val="AllowPageBreak"/>
      </w:pPr>
    </w:p>
    <w:p w:rsidR="00000000" w:rsidRPr="003E3EAA" w:rsidP="003E3EAA">
      <w:pPr>
        <w:pStyle w:val="Heading1"/>
      </w:pPr>
      <w:bookmarkStart w:id="15" w:name="O_621554"/>
      <w:bookmarkEnd w:id="15"/>
      <w:r w:rsidRPr="003E3EAA">
        <w:t>Links</w:t>
      </w:r>
    </w:p>
    <w:p w:rsidR="00000000" w:rsidRPr="003E3EAA" w:rsidP="00BD35A6">
      <w:pPr>
        <w:pStyle w:val="BodyText"/>
      </w:pPr>
      <w:r w:rsidRPr="003E3EA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67425">
        <w:rPr>
          <w:rStyle w:val="Hyperlink"/>
        </w:rPr>
        <w:t>https://vetnet.gov.au/Pages/TrainingDocs.aspx?q=0601ab95-583a-4e93-b2d4-cfb27b03ed73</w:t>
      </w:r>
      <w:r>
        <w:fldChar w:fldCharType="end"/>
      </w:r>
    </w:p>
    <w:p w:rsidR="00000000" w:rsidRPr="003E3EAA" w:rsidP="003E3EAA"/>
    <w:sectPr w:rsidSect="003E3EA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AA" w:rsidRPr="00BD35A6" w:rsidP="00BD3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6" w:rsidP="003E3E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35A6" w:rsidP="003E3EA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35A6" w:rsidP="003E3EA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AA" w:rsidP="003E3EAA">
    <w:pPr>
      <w:pStyle w:val="Footer"/>
      <w:framePr w:wrap="around"/>
    </w:pPr>
    <w:r>
      <w:fldChar w:fldCharType="begin"/>
    </w:r>
    <w:r>
      <w:instrText xml:space="preserve"> DOCPROPERTY  Subject  \* MERGEFORMAT </w:instrText>
    </w:r>
    <w:r>
      <w:fldChar w:fldCharType="separate"/>
    </w:r>
    <w:r w:rsidR="00BD35A6">
      <w:t>Approved</w:t>
    </w:r>
    <w:r w:rsidR="00BD35A6">
      <w:fldChar w:fldCharType="end"/>
    </w:r>
    <w:r>
      <w:tab/>
      <w:t xml:space="preserve">Page </w:t>
    </w:r>
    <w:r>
      <w:fldChar w:fldCharType="begin"/>
    </w:r>
    <w:r>
      <w:instrText xml:space="preserve"> PAGE  \* Arabic  \* MERGEFORMAT </w:instrText>
    </w:r>
    <w:r>
      <w:fldChar w:fldCharType="separate"/>
    </w:r>
    <w:r w:rsidR="00BD35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5A6">
      <w:rPr>
        <w:noProof/>
      </w:rPr>
      <w:t>5</w:t>
    </w:r>
    <w:r>
      <w:rPr>
        <w:noProof/>
      </w:rPr>
      <w:fldChar w:fldCharType="end"/>
    </w:r>
  </w:p>
  <w:p w:rsidR="003E3EAA" w:rsidP="003E3EAA">
    <w:pPr>
      <w:pStyle w:val="Footer"/>
      <w:framePr w:wrap="around"/>
    </w:pPr>
    <w:r>
      <w:t xml:space="preserve">© Commonwealth of Australia, </w:t>
    </w:r>
    <w:r>
      <w:fldChar w:fldCharType="begin"/>
    </w:r>
    <w:r>
      <w:instrText xml:space="preserve"> DATE  \@ "yyyy"  \* MERGEFORMAT </w:instrText>
    </w:r>
    <w:r>
      <w:fldChar w:fldCharType="separate"/>
    </w:r>
    <w:r w:rsidR="00BD35A6">
      <w:rPr>
        <w:noProof/>
      </w:rPr>
      <w:t>2025</w:t>
    </w:r>
    <w:r>
      <w:fldChar w:fldCharType="end"/>
    </w:r>
    <w:r>
      <w:tab/>
    </w:r>
    <w:r>
      <w:fldChar w:fldCharType="begin"/>
    </w:r>
    <w:r>
      <w:instrText xml:space="preserve"> DOCPROPERTY  Author  \* MERGEFORMAT </w:instrText>
    </w:r>
    <w:r>
      <w:fldChar w:fldCharType="separate"/>
    </w:r>
    <w:r w:rsidR="00BD35A6">
      <w:t>Skills Insight</w:t>
    </w:r>
    <w:r w:rsidR="00BD35A6">
      <w:fldChar w:fldCharType="end"/>
    </w:r>
  </w:p>
  <w:p w:rsidR="003E3EAA" w:rsidP="003E3E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EAA" w:rsidRPr="00BD35A6" w:rsidP="00BD3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A6" w:rsidRPr="002D2AF8" w:rsidP="003E3EAA">
    <w:pPr>
      <w:pStyle w:val="Header"/>
      <w:framePr w:wrap="around"/>
    </w:pPr>
    <w:r>
      <w:fldChar w:fldCharType="begin"/>
    </w:r>
    <w:r>
      <w:instrText xml:space="preserve"> TITLE   \* MERGEFORMAT </w:instrText>
    </w:r>
    <w:r>
      <w:fldChar w:fldCharType="separate"/>
    </w:r>
    <w:r>
      <w:t>MSFSL5002 Remove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5A6" w:rsidP="003E3EA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EAA" w:rsidRPr="002D2AF8" w:rsidP="003E3EAA">
    <w:pPr>
      <w:pStyle w:val="Header"/>
      <w:framePr w:wrap="around"/>
    </w:pPr>
    <w:r>
      <w:fldChar w:fldCharType="begin"/>
    </w:r>
    <w:r>
      <w:instrText xml:space="preserve"> TITLE   \* MERGEFORMAT </w:instrText>
    </w:r>
    <w:r>
      <w:fldChar w:fldCharType="separate"/>
    </w:r>
    <w:r w:rsidR="00BD35A6">
      <w:t>MSFSL5002 Remove heritage leadlight and stained glass</w:t>
    </w:r>
    <w:r w:rsidR="00BD35A6">
      <w:fldChar w:fldCharType="end"/>
    </w:r>
    <w:r>
      <w:tab/>
      <w:t xml:space="preserve">Date this document was generated: </w:t>
    </w:r>
    <w:r>
      <w:fldChar w:fldCharType="begin"/>
    </w:r>
    <w:r>
      <w:instrText xml:space="preserve"> CREATEDATE  \@ "d MMMM yyyy"  \* MERGEFORMAT </w:instrText>
    </w:r>
    <w:r>
      <w:fldChar w:fldCharType="separate"/>
    </w:r>
    <w:r w:rsidR="00BD35A6">
      <w:rPr>
        <w:noProof/>
      </w:rPr>
      <w:t>2 March 2025</w:t>
    </w:r>
    <w:r>
      <w:fldChar w:fldCharType="end"/>
    </w:r>
  </w:p>
  <w:p w:rsidR="003E3EAA" w:rsidP="003E3E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F0D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167B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A095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E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EAA"/>
    <w:pPr>
      <w:spacing w:before="360" w:after="60"/>
      <w:outlineLvl w:val="0"/>
    </w:pPr>
    <w:rPr>
      <w:sz w:val="32"/>
    </w:rPr>
  </w:style>
  <w:style w:type="paragraph" w:styleId="Heading2">
    <w:name w:val="heading 2"/>
    <w:basedOn w:val="HeadingBase"/>
    <w:next w:val="BodyText"/>
    <w:link w:val="Heading2Char"/>
    <w:qFormat/>
    <w:rsid w:val="003E3EAA"/>
    <w:pPr>
      <w:keepLines/>
      <w:spacing w:before="240" w:after="120"/>
      <w:outlineLvl w:val="1"/>
    </w:pPr>
    <w:rPr>
      <w:sz w:val="28"/>
      <w:szCs w:val="40"/>
    </w:rPr>
  </w:style>
  <w:style w:type="paragraph" w:styleId="Heading3">
    <w:name w:val="heading 3"/>
    <w:basedOn w:val="HeadingBase"/>
    <w:next w:val="BodyText"/>
    <w:link w:val="Heading3Char"/>
    <w:qFormat/>
    <w:rsid w:val="003E3EAA"/>
    <w:pPr>
      <w:spacing w:before="180" w:after="120"/>
      <w:outlineLvl w:val="2"/>
    </w:pPr>
    <w:rPr>
      <w:spacing w:val="-10"/>
      <w:kern w:val="32"/>
    </w:rPr>
  </w:style>
  <w:style w:type="paragraph" w:styleId="Heading4">
    <w:name w:val="heading 4"/>
    <w:basedOn w:val="HeadingBase"/>
    <w:next w:val="BodyText"/>
    <w:link w:val="Heading4Char"/>
    <w:qFormat/>
    <w:rsid w:val="003E3EAA"/>
    <w:pPr>
      <w:spacing w:before="160" w:after="120"/>
      <w:outlineLvl w:val="3"/>
    </w:pPr>
    <w:rPr>
      <w:sz w:val="22"/>
    </w:rPr>
  </w:style>
  <w:style w:type="paragraph" w:styleId="Heading5">
    <w:name w:val="heading 5"/>
    <w:basedOn w:val="HeadingBase"/>
    <w:next w:val="Normal"/>
    <w:link w:val="Heading5Char"/>
    <w:qFormat/>
    <w:rsid w:val="003E3EAA"/>
    <w:pPr>
      <w:spacing w:before="80"/>
      <w:outlineLvl w:val="4"/>
    </w:pPr>
    <w:rPr>
      <w:color w:val="918585"/>
      <w:sz w:val="20"/>
    </w:rPr>
  </w:style>
  <w:style w:type="paragraph" w:styleId="Heading6">
    <w:name w:val="heading 6"/>
    <w:basedOn w:val="HeadingBase"/>
    <w:next w:val="Normal"/>
    <w:link w:val="Heading6Char"/>
    <w:qFormat/>
    <w:rsid w:val="003E3EAA"/>
    <w:pPr>
      <w:spacing w:before="60"/>
      <w:outlineLvl w:val="5"/>
    </w:pPr>
    <w:rPr>
      <w:color w:val="918585"/>
      <w:sz w:val="20"/>
    </w:rPr>
  </w:style>
  <w:style w:type="paragraph" w:styleId="Heading7">
    <w:name w:val="heading 7"/>
    <w:basedOn w:val="Normal"/>
    <w:next w:val="Normal"/>
    <w:link w:val="Heading7Char"/>
    <w:qFormat/>
    <w:rsid w:val="003E3EAA"/>
    <w:pPr>
      <w:ind w:left="720"/>
      <w:outlineLvl w:val="6"/>
    </w:pPr>
    <w:rPr>
      <w:i/>
    </w:rPr>
  </w:style>
  <w:style w:type="paragraph" w:styleId="Heading8">
    <w:name w:val="heading 8"/>
    <w:basedOn w:val="Normal"/>
    <w:next w:val="Normal"/>
    <w:link w:val="Heading8Char"/>
    <w:qFormat/>
    <w:rsid w:val="003E3EAA"/>
    <w:pPr>
      <w:ind w:left="720"/>
      <w:outlineLvl w:val="7"/>
    </w:pPr>
    <w:rPr>
      <w:i/>
    </w:rPr>
  </w:style>
  <w:style w:type="paragraph" w:styleId="Heading9">
    <w:name w:val="heading 9"/>
    <w:basedOn w:val="Normal"/>
    <w:next w:val="Normal"/>
    <w:link w:val="Heading9Char"/>
    <w:qFormat/>
    <w:rsid w:val="003E3EAA"/>
    <w:pPr>
      <w:ind w:left="720"/>
      <w:outlineLvl w:val="8"/>
    </w:pPr>
    <w:rPr>
      <w:i/>
    </w:rPr>
  </w:style>
  <w:style w:type="character" w:default="1" w:styleId="DefaultParagraphFont">
    <w:name w:val="Default Paragraph Font"/>
    <w:uiPriority w:val="1"/>
    <w:unhideWhenUsed/>
    <w:rsid w:val="003E3E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EAA"/>
  </w:style>
  <w:style w:type="character" w:customStyle="1" w:styleId="Heading1Char">
    <w:name w:val="Heading 1 Char"/>
    <w:basedOn w:val="DefaultParagraphFont"/>
    <w:link w:val="Heading1"/>
    <w:rsid w:val="003E3EAA"/>
    <w:rPr>
      <w:rFonts w:ascii="Times New Roman" w:eastAsia="Times New Roman" w:hAnsi="Times New Roman" w:cs="Times New Roman"/>
      <w:b/>
      <w:sz w:val="32"/>
      <w:szCs w:val="20"/>
      <w:lang w:eastAsia="en-US"/>
    </w:rPr>
  </w:style>
  <w:style w:type="paragraph" w:styleId="BodyText">
    <w:name w:val="Body Text"/>
    <w:basedOn w:val="Normal"/>
    <w:link w:val="BodyTextChar"/>
    <w:rsid w:val="003E3E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EAA"/>
    <w:rPr>
      <w:rFonts w:ascii="Times New Roman" w:eastAsia="Times New Roman" w:hAnsi="Times New Roman" w:cs="Times New Roman"/>
      <w:sz w:val="24"/>
      <w:lang w:eastAsia="en-US"/>
    </w:rPr>
  </w:style>
  <w:style w:type="paragraph" w:styleId="ListBullet">
    <w:name w:val="List Bullet"/>
    <w:basedOn w:val="List"/>
    <w:rsid w:val="003E3EAA"/>
    <w:pPr>
      <w:numPr>
        <w:numId w:val="12"/>
      </w:numPr>
      <w:tabs>
        <w:tab w:val="clear" w:pos="340"/>
      </w:tabs>
      <w:spacing w:before="40" w:after="40"/>
    </w:pPr>
  </w:style>
  <w:style w:type="character" w:customStyle="1" w:styleId="SpecialBold">
    <w:name w:val="Special Bold"/>
    <w:basedOn w:val="DefaultParagraphFont"/>
    <w:rsid w:val="003E3EAA"/>
    <w:rPr>
      <w:b/>
      <w:spacing w:val="0"/>
    </w:rPr>
  </w:style>
  <w:style w:type="paragraph" w:styleId="ListBullet2">
    <w:name w:val="List Bullet 2"/>
    <w:basedOn w:val="List2"/>
    <w:rsid w:val="003E3EAA"/>
    <w:pPr>
      <w:numPr>
        <w:numId w:val="13"/>
      </w:numPr>
      <w:tabs>
        <w:tab w:val="clear" w:pos="680"/>
      </w:tabs>
    </w:pPr>
  </w:style>
  <w:style w:type="character" w:styleId="Emphasis">
    <w:name w:val="Emphasis"/>
    <w:basedOn w:val="DefaultParagraphFont"/>
    <w:qFormat/>
    <w:rsid w:val="003E3EAA"/>
    <w:rPr>
      <w:i/>
    </w:rPr>
  </w:style>
  <w:style w:type="paragraph" w:customStyle="1" w:styleId="SuperHeading">
    <w:name w:val="SuperHeading"/>
    <w:basedOn w:val="Normal"/>
    <w:rsid w:val="003E3EAA"/>
    <w:pPr>
      <w:spacing w:before="240" w:after="120"/>
      <w:outlineLvl w:val="0"/>
    </w:pPr>
    <w:rPr>
      <w:rFonts w:ascii="Times New Roman" w:hAnsi="Times New Roman"/>
      <w:b/>
      <w:sz w:val="32"/>
    </w:rPr>
  </w:style>
  <w:style w:type="paragraph" w:customStyle="1" w:styleId="AllowPageBreak">
    <w:name w:val="AllowPageBreak"/>
    <w:rsid w:val="003E3E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E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E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E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E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E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E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E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EAA"/>
    <w:rPr>
      <w:rFonts w:ascii="Courier New" w:eastAsia="Times New Roman" w:hAnsi="Courier New" w:cs="Times New Roman"/>
      <w:i/>
      <w:szCs w:val="20"/>
      <w:lang w:eastAsia="en-US"/>
    </w:rPr>
  </w:style>
  <w:style w:type="paragraph" w:customStyle="1" w:styleId="HeadingBase">
    <w:name w:val="Heading Base"/>
    <w:rsid w:val="003E3E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EAA"/>
    <w:pPr>
      <w:tabs>
        <w:tab w:val="right" w:leader="dot" w:pos="9072"/>
      </w:tabs>
      <w:ind w:left="567"/>
    </w:pPr>
    <w:rPr>
      <w:szCs w:val="22"/>
    </w:rPr>
  </w:style>
  <w:style w:type="paragraph" w:customStyle="1" w:styleId="TOCBase">
    <w:name w:val="TOC Base"/>
    <w:rsid w:val="003E3E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EAA"/>
    <w:pPr>
      <w:tabs>
        <w:tab w:val="right" w:leader="dot" w:pos="9072"/>
      </w:tabs>
      <w:spacing w:before="40" w:after="40"/>
      <w:ind w:left="284"/>
    </w:pPr>
    <w:rPr>
      <w:rFonts w:ascii="Times New Roman" w:hAnsi="Times New Roman"/>
    </w:rPr>
  </w:style>
  <w:style w:type="paragraph" w:styleId="TOC1">
    <w:name w:val="toc 1"/>
    <w:basedOn w:val="TOCBase"/>
    <w:next w:val="Normal"/>
    <w:rsid w:val="003E3E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E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EAA"/>
    <w:rPr>
      <w:rFonts w:ascii="Times New Roman" w:eastAsia="Times New Roman" w:hAnsi="Times New Roman" w:cs="Times New Roman"/>
      <w:sz w:val="16"/>
      <w:lang w:eastAsia="en-US"/>
    </w:rPr>
  </w:style>
  <w:style w:type="paragraph" w:styleId="Title">
    <w:name w:val="Title"/>
    <w:basedOn w:val="HeadingBase"/>
    <w:link w:val="TitleChar"/>
    <w:qFormat/>
    <w:rsid w:val="003E3EAA"/>
    <w:pPr>
      <w:spacing w:before="5040"/>
      <w:jc w:val="center"/>
    </w:pPr>
    <w:rPr>
      <w:sz w:val="48"/>
      <w:szCs w:val="72"/>
      <w:lang w:val="en-US"/>
    </w:rPr>
  </w:style>
  <w:style w:type="character" w:customStyle="1" w:styleId="TitleChar">
    <w:name w:val="Title Char"/>
    <w:basedOn w:val="DefaultParagraphFont"/>
    <w:link w:val="Title"/>
    <w:rsid w:val="003E3E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EAA"/>
    <w:pPr>
      <w:tabs>
        <w:tab w:val="left" w:pos="3600"/>
        <w:tab w:val="left" w:pos="3958"/>
      </w:tabs>
    </w:pPr>
  </w:style>
  <w:style w:type="paragraph" w:styleId="List">
    <w:name w:val="List"/>
    <w:basedOn w:val="BodyText"/>
    <w:next w:val="BodyText"/>
    <w:rsid w:val="003E3EAA"/>
    <w:pPr>
      <w:tabs>
        <w:tab w:val="left" w:pos="340"/>
      </w:tabs>
      <w:spacing w:before="60" w:after="60"/>
      <w:ind w:left="340" w:hanging="340"/>
    </w:pPr>
  </w:style>
  <w:style w:type="paragraph" w:customStyle="1" w:styleId="Note">
    <w:name w:val="Note"/>
    <w:basedOn w:val="BodyText"/>
    <w:rsid w:val="003E3E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EAA"/>
    <w:pPr>
      <w:framePr w:wrap="auto" w:hAnchor="text" w:y="6049"/>
    </w:pPr>
    <w:rPr>
      <w:color w:val="000000"/>
      <w:sz w:val="40"/>
    </w:rPr>
  </w:style>
  <w:style w:type="paragraph" w:customStyle="1" w:styleId="TOCTitle">
    <w:name w:val="TOCTitle"/>
    <w:basedOn w:val="Heading1"/>
    <w:rsid w:val="003E3EAA"/>
    <w:pPr>
      <w:spacing w:after="240"/>
      <w:jc w:val="center"/>
      <w:outlineLvl w:val="9"/>
    </w:pPr>
    <w:rPr>
      <w:caps/>
    </w:rPr>
  </w:style>
  <w:style w:type="paragraph" w:customStyle="1" w:styleId="Version">
    <w:name w:val="Version"/>
    <w:rsid w:val="003E3E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EAA"/>
    <w:pPr>
      <w:keepNext w:val="0"/>
      <w:tabs>
        <w:tab w:val="right" w:pos="4176"/>
      </w:tabs>
      <w:ind w:left="198" w:hanging="198"/>
    </w:pPr>
    <w:rPr>
      <w:rFonts w:ascii="Garamond" w:hAnsi="Garamond"/>
    </w:rPr>
  </w:style>
  <w:style w:type="paragraph" w:styleId="IndexHeading">
    <w:name w:val="index heading"/>
    <w:basedOn w:val="Normal"/>
    <w:next w:val="Index1"/>
    <w:semiHidden/>
    <w:rsid w:val="003E3EAA"/>
    <w:pPr>
      <w:spacing w:before="120" w:after="120"/>
    </w:pPr>
    <w:rPr>
      <w:rFonts w:ascii="Arial" w:hAnsi="Arial"/>
      <w:b/>
      <w:color w:val="918585"/>
      <w:sz w:val="24"/>
    </w:rPr>
  </w:style>
  <w:style w:type="paragraph" w:styleId="Header">
    <w:name w:val="header"/>
    <w:basedOn w:val="Normal"/>
    <w:link w:val="HeaderChar"/>
    <w:rsid w:val="003E3E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EAA"/>
    <w:rPr>
      <w:rFonts w:ascii="Times New Roman" w:eastAsia="Times New Roman" w:hAnsi="Times New Roman" w:cs="Times New Roman"/>
      <w:sz w:val="16"/>
      <w:szCs w:val="20"/>
      <w:lang w:val="en-GB" w:eastAsia="en-US"/>
    </w:rPr>
  </w:style>
  <w:style w:type="paragraph" w:customStyle="1" w:styleId="Chapter">
    <w:name w:val="Chapter"/>
    <w:basedOn w:val="Normal"/>
    <w:rsid w:val="003E3EAA"/>
    <w:pPr>
      <w:spacing w:before="240"/>
    </w:pPr>
    <w:rPr>
      <w:rFonts w:ascii="Times New Roman" w:hAnsi="Times New Roman"/>
      <w:smallCaps/>
      <w:spacing w:val="80"/>
      <w:sz w:val="28"/>
    </w:rPr>
  </w:style>
  <w:style w:type="paragraph" w:customStyle="1" w:styleId="InChapter">
    <w:name w:val="InChapter"/>
    <w:basedOn w:val="Heading3"/>
    <w:rsid w:val="003E3EAA"/>
    <w:pPr>
      <w:spacing w:after="240"/>
      <w:outlineLvl w:val="9"/>
    </w:pPr>
    <w:rPr>
      <w:noProof/>
    </w:rPr>
  </w:style>
  <w:style w:type="paragraph" w:styleId="Index2">
    <w:name w:val="index 2"/>
    <w:basedOn w:val="Normal"/>
    <w:next w:val="Normal"/>
    <w:semiHidden/>
    <w:rsid w:val="003E3EAA"/>
    <w:pPr>
      <w:tabs>
        <w:tab w:val="right" w:pos="4176"/>
      </w:tabs>
      <w:ind w:left="568" w:hanging="284"/>
    </w:pPr>
    <w:rPr>
      <w:rFonts w:ascii="Garamond" w:hAnsi="Garamond"/>
    </w:rPr>
  </w:style>
  <w:style w:type="paragraph" w:customStyle="1" w:styleId="Byline">
    <w:name w:val="Byline"/>
    <w:rsid w:val="003E3E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EAA"/>
    <w:pPr>
      <w:tabs>
        <w:tab w:val="clear" w:pos="3600"/>
        <w:tab w:val="clear" w:pos="3958"/>
      </w:tabs>
      <w:jc w:val="right"/>
    </w:pPr>
  </w:style>
  <w:style w:type="paragraph" w:styleId="Caption">
    <w:name w:val="caption"/>
    <w:basedOn w:val="BodyText"/>
    <w:next w:val="Normal"/>
    <w:qFormat/>
    <w:rsid w:val="003E3EAA"/>
    <w:pPr>
      <w:framePr w:w="2268" w:hSpace="181" w:vSpace="181" w:wrap="around" w:vAnchor="text" w:hAnchor="page" w:x="1135" w:y="285" w:anchorLock="1"/>
    </w:pPr>
    <w:rPr>
      <w:i/>
    </w:rPr>
  </w:style>
  <w:style w:type="paragraph" w:customStyle="1" w:styleId="MiniTOCTitle">
    <w:name w:val="MiniTOCTitle"/>
    <w:basedOn w:val="Heading4"/>
    <w:rsid w:val="003E3EAA"/>
    <w:pPr>
      <w:spacing w:before="240"/>
      <w:outlineLvl w:val="9"/>
    </w:pPr>
    <w:rPr>
      <w:noProof/>
      <w:sz w:val="24"/>
    </w:rPr>
  </w:style>
  <w:style w:type="paragraph" w:customStyle="1" w:styleId="MiniTOCItem">
    <w:name w:val="MiniTOCItem"/>
    <w:basedOn w:val="ListBullet"/>
    <w:rsid w:val="003E3EAA"/>
    <w:pPr>
      <w:numPr>
        <w:numId w:val="0"/>
      </w:numPr>
      <w:tabs>
        <w:tab w:val="right" w:leader="dot" w:pos="6521"/>
      </w:tabs>
      <w:spacing w:before="0" w:after="0"/>
    </w:pPr>
  </w:style>
  <w:style w:type="paragraph" w:customStyle="1" w:styleId="TOFTitle">
    <w:name w:val="TOFTitle"/>
    <w:basedOn w:val="TOCTitle"/>
    <w:rsid w:val="003E3EAA"/>
  </w:style>
  <w:style w:type="paragraph" w:styleId="TableofFigures">
    <w:name w:val="table of figures"/>
    <w:basedOn w:val="Normal"/>
    <w:next w:val="Normal"/>
    <w:semiHidden/>
    <w:rsid w:val="003E3EAA"/>
    <w:pPr>
      <w:tabs>
        <w:tab w:val="right" w:leader="dot" w:pos="9072"/>
      </w:tabs>
      <w:ind w:left="970" w:hanging="403"/>
    </w:pPr>
    <w:rPr>
      <w:rFonts w:ascii="Times New Roman" w:hAnsi="Times New Roman"/>
      <w:b/>
    </w:rPr>
  </w:style>
  <w:style w:type="paragraph" w:styleId="ListNumber">
    <w:name w:val="List Number"/>
    <w:basedOn w:val="List"/>
    <w:rsid w:val="003E3EAA"/>
    <w:pPr>
      <w:numPr>
        <w:numId w:val="15"/>
      </w:numPr>
      <w:tabs>
        <w:tab w:val="clear" w:pos="340"/>
      </w:tabs>
    </w:pPr>
  </w:style>
  <w:style w:type="character" w:customStyle="1" w:styleId="WingdingSymbols">
    <w:name w:val="Wingding Symbols"/>
    <w:rsid w:val="003E3EAA"/>
    <w:rPr>
      <w:rFonts w:ascii="Wingdings" w:hAnsi="Wingdings"/>
    </w:rPr>
  </w:style>
  <w:style w:type="paragraph" w:customStyle="1" w:styleId="TableHeading">
    <w:name w:val="Table Heading"/>
    <w:basedOn w:val="HeadingBase"/>
    <w:rsid w:val="003E3EAA"/>
    <w:pPr>
      <w:keepLines/>
      <w:pBdr>
        <w:bottom w:val="single" w:sz="6" w:space="1" w:color="918585"/>
      </w:pBdr>
      <w:spacing w:before="240"/>
    </w:pPr>
  </w:style>
  <w:style w:type="character" w:customStyle="1" w:styleId="HotSpot">
    <w:name w:val="HotSpot"/>
    <w:rsid w:val="003E3EAA"/>
    <w:rPr>
      <w:color w:val="0033CC"/>
      <w:u w:val="none"/>
    </w:rPr>
  </w:style>
  <w:style w:type="paragraph" w:customStyle="1" w:styleId="BodyTextRight">
    <w:name w:val="Body Text Right"/>
    <w:basedOn w:val="BodyText"/>
    <w:rsid w:val="003E3EAA"/>
    <w:pPr>
      <w:spacing w:before="0" w:after="0"/>
      <w:jc w:val="right"/>
    </w:pPr>
  </w:style>
  <w:style w:type="paragraph" w:styleId="Index3">
    <w:name w:val="index 3"/>
    <w:basedOn w:val="ListNumber2"/>
    <w:next w:val="Normal"/>
    <w:semiHidden/>
    <w:rsid w:val="003E3EAA"/>
    <w:pPr>
      <w:numPr>
        <w:numId w:val="0"/>
      </w:numPr>
      <w:tabs>
        <w:tab w:val="right" w:leader="dot" w:pos="4176"/>
      </w:tabs>
    </w:pPr>
  </w:style>
  <w:style w:type="paragraph" w:styleId="ListNumber2">
    <w:name w:val="List Number 2"/>
    <w:basedOn w:val="List2"/>
    <w:rsid w:val="003E3EAA"/>
    <w:pPr>
      <w:numPr>
        <w:numId w:val="10"/>
      </w:numPr>
      <w:tabs>
        <w:tab w:val="clear" w:pos="1060"/>
      </w:tabs>
    </w:pPr>
  </w:style>
  <w:style w:type="paragraph" w:customStyle="1" w:styleId="MarginNote">
    <w:name w:val="Margin Note"/>
    <w:basedOn w:val="BodyText"/>
    <w:rsid w:val="003E3E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E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E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EAA"/>
    <w:rPr>
      <w:sz w:val="32"/>
    </w:rPr>
  </w:style>
  <w:style w:type="paragraph" w:customStyle="1" w:styleId="HeadingProcedure">
    <w:name w:val="Heading Procedure"/>
    <w:basedOn w:val="HeadingBase"/>
    <w:next w:val="Normal"/>
    <w:rsid w:val="003E3EAA"/>
    <w:pPr>
      <w:tabs>
        <w:tab w:val="left" w:pos="0"/>
      </w:tabs>
      <w:spacing w:before="120" w:after="60"/>
    </w:pPr>
    <w:rPr>
      <w:i/>
      <w:color w:val="918585"/>
      <w:sz w:val="22"/>
    </w:rPr>
  </w:style>
  <w:style w:type="paragraph" w:customStyle="1" w:styleId="TableBodyText">
    <w:name w:val="Table Body Text"/>
    <w:basedOn w:val="BodyText"/>
    <w:rsid w:val="003E3EAA"/>
    <w:pPr>
      <w:spacing w:before="60" w:after="60"/>
    </w:pPr>
  </w:style>
  <w:style w:type="paragraph" w:styleId="ListContinue">
    <w:name w:val="List Continue"/>
    <w:basedOn w:val="List"/>
    <w:rsid w:val="003E3EAA"/>
    <w:pPr>
      <w:ind w:firstLine="0"/>
    </w:pPr>
  </w:style>
  <w:style w:type="paragraph" w:customStyle="1" w:styleId="ListNote">
    <w:name w:val="List Note"/>
    <w:basedOn w:val="List"/>
    <w:rsid w:val="003E3EAA"/>
    <w:pPr>
      <w:pBdr>
        <w:top w:val="single" w:sz="6" w:space="2" w:color="918585"/>
        <w:bottom w:val="single" w:sz="6" w:space="2" w:color="918585"/>
      </w:pBdr>
      <w:tabs>
        <w:tab w:val="left" w:pos="1021"/>
      </w:tabs>
      <w:ind w:firstLine="0"/>
    </w:pPr>
  </w:style>
  <w:style w:type="paragraph" w:customStyle="1" w:styleId="Warning">
    <w:name w:val="Warning"/>
    <w:basedOn w:val="BodyText"/>
    <w:rsid w:val="003E3EAA"/>
    <w:pPr>
      <w:shd w:val="clear" w:color="auto" w:fill="D9D9D9"/>
      <w:tabs>
        <w:tab w:val="left" w:pos="992"/>
      </w:tabs>
      <w:ind w:left="119" w:right="119"/>
    </w:pPr>
    <w:rPr>
      <w:sz w:val="20"/>
    </w:rPr>
  </w:style>
  <w:style w:type="paragraph" w:customStyle="1" w:styleId="MarginIcons">
    <w:name w:val="Margin Icons"/>
    <w:basedOn w:val="BodyText"/>
    <w:rsid w:val="003E3E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EAA"/>
    <w:rPr>
      <w:rFonts w:ascii="Courier New" w:hAnsi="Courier New"/>
    </w:rPr>
  </w:style>
  <w:style w:type="paragraph" w:customStyle="1" w:styleId="NoteBullet">
    <w:name w:val="Note Bullet"/>
    <w:basedOn w:val="Note"/>
    <w:rsid w:val="003E3EAA"/>
    <w:pPr>
      <w:tabs>
        <w:tab w:val="clear" w:pos="680"/>
      </w:tabs>
      <w:spacing w:before="60" w:after="60"/>
    </w:pPr>
  </w:style>
  <w:style w:type="paragraph" w:customStyle="1" w:styleId="SubHeading2">
    <w:name w:val="SubHeading2"/>
    <w:basedOn w:val="HeadingBase"/>
    <w:rsid w:val="003E3EAA"/>
    <w:pPr>
      <w:spacing w:before="240" w:after="60"/>
    </w:pPr>
    <w:rPr>
      <w:sz w:val="20"/>
    </w:rPr>
  </w:style>
  <w:style w:type="paragraph" w:customStyle="1" w:styleId="SubHeading1">
    <w:name w:val="SubHeading1"/>
    <w:basedOn w:val="HeadingBase"/>
    <w:rsid w:val="003E3EAA"/>
    <w:pPr>
      <w:spacing w:before="240" w:after="60"/>
    </w:pPr>
    <w:rPr>
      <w:color w:val="918585"/>
      <w:sz w:val="22"/>
    </w:rPr>
  </w:style>
  <w:style w:type="paragraph" w:customStyle="1" w:styleId="SideHeading">
    <w:name w:val="Side Heading"/>
    <w:basedOn w:val="HeadingBase"/>
    <w:rsid w:val="003E3E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EAA"/>
    <w:pPr>
      <w:tabs>
        <w:tab w:val="num" w:pos="360"/>
      </w:tabs>
    </w:pPr>
  </w:style>
  <w:style w:type="paragraph" w:styleId="PlainText">
    <w:name w:val="Plain Text"/>
    <w:basedOn w:val="Normal"/>
    <w:link w:val="PlainTextChar"/>
    <w:rsid w:val="003E3EAA"/>
    <w:rPr>
      <w:sz w:val="20"/>
    </w:rPr>
  </w:style>
  <w:style w:type="character" w:customStyle="1" w:styleId="PlainTextChar">
    <w:name w:val="Plain Text Char"/>
    <w:basedOn w:val="DefaultParagraphFont"/>
    <w:link w:val="PlainText"/>
    <w:rsid w:val="003E3EAA"/>
    <w:rPr>
      <w:rFonts w:ascii="Courier New" w:eastAsia="Times New Roman" w:hAnsi="Courier New" w:cs="Times New Roman"/>
      <w:sz w:val="20"/>
      <w:szCs w:val="20"/>
      <w:lang w:eastAsia="en-US"/>
    </w:rPr>
  </w:style>
  <w:style w:type="character" w:customStyle="1" w:styleId="MenuOption">
    <w:name w:val="Menu Option"/>
    <w:basedOn w:val="DefaultParagraphFont"/>
    <w:rsid w:val="003E3EAA"/>
    <w:rPr>
      <w:b/>
      <w:smallCaps/>
    </w:rPr>
  </w:style>
  <w:style w:type="paragraph" w:customStyle="1" w:styleId="TableListNumber">
    <w:name w:val="Table List Number"/>
    <w:basedOn w:val="ListNumber"/>
    <w:rsid w:val="003E3EAA"/>
    <w:pPr>
      <w:numPr>
        <w:numId w:val="0"/>
      </w:numPr>
    </w:pPr>
  </w:style>
  <w:style w:type="paragraph" w:styleId="TOC4">
    <w:name w:val="toc 4"/>
    <w:basedOn w:val="TOCBase"/>
    <w:next w:val="Normal"/>
    <w:semiHidden/>
    <w:rsid w:val="003E3EAA"/>
    <w:pPr>
      <w:tabs>
        <w:tab w:val="right" w:leader="dot" w:pos="9071"/>
      </w:tabs>
      <w:ind w:left="1701"/>
    </w:pPr>
  </w:style>
  <w:style w:type="paragraph" w:customStyle="1" w:styleId="ListAlpha">
    <w:name w:val="List Alpha"/>
    <w:basedOn w:val="List"/>
    <w:rsid w:val="003E3EAA"/>
    <w:pPr>
      <w:numPr>
        <w:numId w:val="9"/>
      </w:numPr>
    </w:pPr>
  </w:style>
  <w:style w:type="paragraph" w:customStyle="1" w:styleId="ListAlpha2">
    <w:name w:val="List Alpha 2"/>
    <w:basedOn w:val="List2"/>
    <w:rsid w:val="003E3EAA"/>
    <w:pPr>
      <w:numPr>
        <w:numId w:val="8"/>
      </w:numPr>
    </w:pPr>
  </w:style>
  <w:style w:type="paragraph" w:styleId="List2">
    <w:name w:val="List 2"/>
    <w:basedOn w:val="BodyText"/>
    <w:rsid w:val="003E3EAA"/>
    <w:pPr>
      <w:tabs>
        <w:tab w:val="left" w:pos="680"/>
      </w:tabs>
      <w:spacing w:before="60" w:after="60"/>
      <w:ind w:left="680" w:hanging="340"/>
    </w:pPr>
  </w:style>
  <w:style w:type="paragraph" w:styleId="List3">
    <w:name w:val="List 3"/>
    <w:basedOn w:val="BodyText"/>
    <w:rsid w:val="003E3EAA"/>
    <w:pPr>
      <w:tabs>
        <w:tab w:val="left" w:pos="1021"/>
      </w:tabs>
      <w:spacing w:before="60" w:after="60"/>
      <w:ind w:left="1020" w:hanging="340"/>
    </w:pPr>
  </w:style>
  <w:style w:type="paragraph" w:styleId="List4">
    <w:name w:val="List 4"/>
    <w:basedOn w:val="BodyText"/>
    <w:rsid w:val="003E3EAA"/>
    <w:pPr>
      <w:tabs>
        <w:tab w:val="left" w:pos="1361"/>
      </w:tabs>
      <w:spacing w:before="60" w:after="60"/>
      <w:ind w:left="1361" w:hanging="340"/>
    </w:pPr>
  </w:style>
  <w:style w:type="paragraph" w:styleId="List5">
    <w:name w:val="List 5"/>
    <w:basedOn w:val="BodyText"/>
    <w:rsid w:val="003E3EAA"/>
    <w:pPr>
      <w:tabs>
        <w:tab w:val="left" w:pos="1701"/>
      </w:tabs>
      <w:spacing w:before="60" w:after="60"/>
      <w:ind w:left="1701" w:hanging="340"/>
    </w:pPr>
  </w:style>
  <w:style w:type="paragraph" w:styleId="ListBullet3">
    <w:name w:val="List Bullet 3"/>
    <w:basedOn w:val="List3"/>
    <w:rsid w:val="003E3EAA"/>
    <w:pPr>
      <w:numPr>
        <w:numId w:val="14"/>
      </w:numPr>
      <w:tabs>
        <w:tab w:val="clear" w:pos="1021"/>
      </w:tabs>
      <w:ind w:left="1037" w:hanging="357"/>
    </w:pPr>
  </w:style>
  <w:style w:type="paragraph" w:styleId="ListBullet4">
    <w:name w:val="List Bullet 4"/>
    <w:basedOn w:val="List4"/>
    <w:rsid w:val="003E3EAA"/>
    <w:pPr>
      <w:numPr>
        <w:numId w:val="3"/>
      </w:numPr>
      <w:tabs>
        <w:tab w:val="clear" w:pos="1361"/>
      </w:tabs>
    </w:pPr>
  </w:style>
  <w:style w:type="paragraph" w:styleId="ListBullet5">
    <w:name w:val="List Bullet 5"/>
    <w:basedOn w:val="List5"/>
    <w:rsid w:val="003E3EAA"/>
    <w:pPr>
      <w:numPr>
        <w:numId w:val="4"/>
      </w:numPr>
    </w:pPr>
  </w:style>
  <w:style w:type="paragraph" w:styleId="ListContinue2">
    <w:name w:val="List Continue 2"/>
    <w:basedOn w:val="List2"/>
    <w:rsid w:val="003E3EAA"/>
    <w:pPr>
      <w:ind w:firstLine="0"/>
    </w:pPr>
  </w:style>
  <w:style w:type="paragraph" w:styleId="ListContinue3">
    <w:name w:val="List Continue 3"/>
    <w:basedOn w:val="List3"/>
    <w:rsid w:val="003E3EAA"/>
    <w:pPr>
      <w:ind w:left="1021" w:firstLine="0"/>
    </w:pPr>
  </w:style>
  <w:style w:type="paragraph" w:styleId="ListContinue4">
    <w:name w:val="List Continue 4"/>
    <w:basedOn w:val="List4"/>
    <w:rsid w:val="003E3EAA"/>
    <w:pPr>
      <w:ind w:firstLine="0"/>
    </w:pPr>
  </w:style>
  <w:style w:type="paragraph" w:styleId="ListContinue5">
    <w:name w:val="List Continue 5"/>
    <w:basedOn w:val="List5"/>
    <w:rsid w:val="003E3EAA"/>
    <w:pPr>
      <w:ind w:firstLine="0"/>
    </w:pPr>
  </w:style>
  <w:style w:type="paragraph" w:styleId="ListNumber3">
    <w:name w:val="List Number 3"/>
    <w:basedOn w:val="List3"/>
    <w:rsid w:val="003E3EAA"/>
    <w:pPr>
      <w:numPr>
        <w:numId w:val="5"/>
      </w:numPr>
    </w:pPr>
  </w:style>
  <w:style w:type="paragraph" w:styleId="ListNumber4">
    <w:name w:val="List Number 4"/>
    <w:basedOn w:val="List4"/>
    <w:rsid w:val="003E3EAA"/>
    <w:pPr>
      <w:numPr>
        <w:numId w:val="6"/>
      </w:numPr>
    </w:pPr>
  </w:style>
  <w:style w:type="paragraph" w:styleId="ListNumber5">
    <w:name w:val="List Number 5"/>
    <w:basedOn w:val="List5"/>
    <w:rsid w:val="003E3EAA"/>
    <w:pPr>
      <w:numPr>
        <w:numId w:val="7"/>
      </w:numPr>
    </w:pPr>
  </w:style>
  <w:style w:type="paragraph" w:styleId="BlockText">
    <w:name w:val="Block Text"/>
    <w:basedOn w:val="Normal"/>
    <w:rsid w:val="003E3EAA"/>
    <w:pPr>
      <w:spacing w:after="120"/>
      <w:ind w:left="1440" w:right="1440"/>
    </w:pPr>
  </w:style>
  <w:style w:type="character" w:customStyle="1" w:styleId="Subscript">
    <w:name w:val="Subscript"/>
    <w:basedOn w:val="DefaultParagraphFont"/>
    <w:rsid w:val="003E3EAA"/>
    <w:rPr>
      <w:sz w:val="16"/>
      <w:vertAlign w:val="subscript"/>
    </w:rPr>
  </w:style>
  <w:style w:type="character" w:customStyle="1" w:styleId="Superscript">
    <w:name w:val="Superscript"/>
    <w:basedOn w:val="DefaultParagraphFont"/>
    <w:rsid w:val="003E3EAA"/>
    <w:rPr>
      <w:sz w:val="16"/>
      <w:vertAlign w:val="superscript"/>
    </w:rPr>
  </w:style>
  <w:style w:type="character" w:customStyle="1" w:styleId="Symbols">
    <w:name w:val="Symbols"/>
    <w:basedOn w:val="DefaultParagraphFont"/>
    <w:rsid w:val="003E3EAA"/>
    <w:rPr>
      <w:rFonts w:ascii="Symbol" w:hAnsi="Symbol"/>
    </w:rPr>
  </w:style>
  <w:style w:type="character" w:customStyle="1" w:styleId="MenuOptions">
    <w:name w:val="Menu Options"/>
    <w:basedOn w:val="DefaultParagraphFont"/>
    <w:rsid w:val="003E3EAA"/>
    <w:rPr>
      <w:rFonts w:ascii="Arial Narrow" w:hAnsi="Arial Narrow"/>
      <w:smallCaps/>
    </w:rPr>
  </w:style>
  <w:style w:type="character" w:customStyle="1" w:styleId="Buttons">
    <w:name w:val="Buttons"/>
    <w:basedOn w:val="DefaultParagraphFont"/>
    <w:rsid w:val="003E3EAA"/>
    <w:rPr>
      <w:b/>
    </w:rPr>
  </w:style>
  <w:style w:type="character" w:customStyle="1" w:styleId="Underlined">
    <w:name w:val="Underlined"/>
    <w:basedOn w:val="DefaultParagraphFont"/>
    <w:rsid w:val="003E3EAA"/>
    <w:rPr>
      <w:u w:val="single"/>
    </w:rPr>
  </w:style>
  <w:style w:type="paragraph" w:customStyle="1" w:styleId="TableBodyTextRight">
    <w:name w:val="Table Body Text Right"/>
    <w:basedOn w:val="TableBodyText"/>
    <w:rsid w:val="003E3EAA"/>
    <w:pPr>
      <w:widowControl w:val="0"/>
      <w:autoSpaceDE w:val="0"/>
      <w:autoSpaceDN w:val="0"/>
      <w:adjustRightInd w:val="0"/>
      <w:jc w:val="right"/>
    </w:pPr>
    <w:rPr>
      <w:rFonts w:cs="Arial"/>
      <w:szCs w:val="18"/>
    </w:rPr>
  </w:style>
  <w:style w:type="paragraph" w:customStyle="1" w:styleId="CopyrightText">
    <w:name w:val="Copyright Text"/>
    <w:basedOn w:val="BodyText"/>
    <w:rsid w:val="003E3EAA"/>
    <w:rPr>
      <w:sz w:val="18"/>
    </w:rPr>
  </w:style>
  <w:style w:type="paragraph" w:customStyle="1" w:styleId="BodySmallRight">
    <w:name w:val="Body Small Right"/>
    <w:basedOn w:val="BodyTextRight"/>
    <w:rsid w:val="003E3EAA"/>
    <w:rPr>
      <w:sz w:val="18"/>
      <w:szCs w:val="18"/>
    </w:rPr>
  </w:style>
  <w:style w:type="paragraph" w:customStyle="1" w:styleId="MarginEdition">
    <w:name w:val="Margin Edition"/>
    <w:basedOn w:val="MarginNote"/>
    <w:rsid w:val="003E3EAA"/>
    <w:pPr>
      <w:spacing w:before="0" w:after="0"/>
    </w:pPr>
    <w:rPr>
      <w:rFonts w:ascii="Times New Roman" w:hAnsi="Times New Roman"/>
      <w:color w:val="999999"/>
    </w:rPr>
  </w:style>
  <w:style w:type="paragraph" w:customStyle="1" w:styleId="Spacer">
    <w:name w:val="Spacer"/>
    <w:basedOn w:val="Normal"/>
    <w:rsid w:val="003E3EAA"/>
    <w:rPr>
      <w:sz w:val="2"/>
      <w:szCs w:val="2"/>
    </w:rPr>
  </w:style>
  <w:style w:type="character" w:customStyle="1" w:styleId="Small">
    <w:name w:val="Small"/>
    <w:basedOn w:val="DefaultParagraphFont"/>
    <w:rsid w:val="003E3EAA"/>
    <w:rPr>
      <w:sz w:val="16"/>
    </w:rPr>
  </w:style>
  <w:style w:type="paragraph" w:customStyle="1" w:styleId="WideTable">
    <w:name w:val="Wide Table"/>
    <w:basedOn w:val="Normal"/>
    <w:rsid w:val="003E3EAA"/>
    <w:pPr>
      <w:ind w:left="-1418"/>
    </w:pPr>
    <w:rPr>
      <w:sz w:val="2"/>
      <w:szCs w:val="2"/>
    </w:rPr>
  </w:style>
  <w:style w:type="character" w:styleId="PageNumber">
    <w:name w:val="page number"/>
    <w:basedOn w:val="DefaultParagraphFont"/>
    <w:rsid w:val="003E3EAA"/>
  </w:style>
  <w:style w:type="paragraph" w:styleId="Quote">
    <w:name w:val="Quote"/>
    <w:basedOn w:val="Heading1"/>
    <w:link w:val="QuoteChar"/>
    <w:qFormat/>
    <w:rsid w:val="003E3EAA"/>
    <w:rPr>
      <w:b w:val="0"/>
      <w:sz w:val="72"/>
      <w:szCs w:val="72"/>
      <w:lang w:val="en-NZ"/>
    </w:rPr>
  </w:style>
  <w:style w:type="character" w:customStyle="1" w:styleId="QuoteChar">
    <w:name w:val="Quote Char"/>
    <w:basedOn w:val="DefaultParagraphFont"/>
    <w:link w:val="Quote"/>
    <w:rsid w:val="003E3E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EAA"/>
    <w:pPr>
      <w:pageBreakBefore/>
    </w:pPr>
  </w:style>
  <w:style w:type="paragraph" w:customStyle="1" w:styleId="Border">
    <w:name w:val="Border"/>
    <w:basedOn w:val="Normal"/>
    <w:qFormat/>
    <w:rsid w:val="003E3E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EAA"/>
    <w:rPr>
      <w:b/>
      <w:bCs/>
      <w:i/>
      <w:iCs/>
      <w:color w:val="auto"/>
    </w:rPr>
  </w:style>
  <w:style w:type="paragraph" w:styleId="IntenseQuote">
    <w:name w:val="Intense Quote"/>
    <w:basedOn w:val="Normal"/>
    <w:next w:val="Normal"/>
    <w:link w:val="IntenseQuoteChar"/>
    <w:uiPriority w:val="30"/>
    <w:qFormat/>
    <w:rsid w:val="003E3E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E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EAA"/>
    <w:rPr>
      <w:smallCaps/>
      <w:color w:val="auto"/>
      <w:u w:val="single"/>
    </w:rPr>
  </w:style>
  <w:style w:type="character" w:styleId="IntenseReference">
    <w:name w:val="Intense Reference"/>
    <w:basedOn w:val="DefaultParagraphFont"/>
    <w:uiPriority w:val="32"/>
    <w:qFormat/>
    <w:rsid w:val="003E3EAA"/>
    <w:rPr>
      <w:b/>
      <w:bCs/>
      <w:smallCaps/>
      <w:color w:val="auto"/>
      <w:spacing w:val="5"/>
      <w:u w:val="single"/>
    </w:rPr>
  </w:style>
  <w:style w:type="paragraph" w:customStyle="1" w:styleId="2ColumnHeading">
    <w:name w:val="2Column Heading"/>
    <w:basedOn w:val="BodyText"/>
    <w:qFormat/>
    <w:rsid w:val="003E3EAA"/>
    <w:pPr>
      <w:spacing w:after="60"/>
      <w:ind w:left="-2268"/>
    </w:pPr>
    <w:rPr>
      <w:b/>
    </w:rPr>
  </w:style>
  <w:style w:type="paragraph" w:customStyle="1" w:styleId="Heading1TOC">
    <w:name w:val="Heading1 TOC"/>
    <w:basedOn w:val="Normal"/>
    <w:qFormat/>
    <w:rsid w:val="003E3EAA"/>
    <w:pPr>
      <w:spacing w:before="240" w:after="120"/>
    </w:pPr>
    <w:rPr>
      <w:rFonts w:ascii="Times New Roman" w:hAnsi="Times New Roman"/>
      <w:b/>
      <w:sz w:val="32"/>
    </w:rPr>
  </w:style>
  <w:style w:type="paragraph" w:customStyle="1" w:styleId="Heading2TOC">
    <w:name w:val="Heading2 TOC"/>
    <w:basedOn w:val="Normal"/>
    <w:qFormat/>
    <w:rsid w:val="003E3EAA"/>
    <w:pPr>
      <w:spacing w:before="240" w:after="60"/>
    </w:pPr>
    <w:rPr>
      <w:rFonts w:ascii="Times New Roman" w:hAnsi="Times New Roman"/>
      <w:b/>
      <w:sz w:val="28"/>
    </w:rPr>
  </w:style>
  <w:style w:type="character" w:customStyle="1" w:styleId="Underline">
    <w:name w:val="Underline"/>
    <w:basedOn w:val="DefaultParagraphFont"/>
    <w:qFormat/>
    <w:rsid w:val="003E3EAA"/>
    <w:rPr>
      <w:u w:val="single"/>
    </w:rPr>
  </w:style>
  <w:style w:type="character" w:customStyle="1" w:styleId="BoldandItalics">
    <w:name w:val="Bold and Italics"/>
    <w:qFormat/>
    <w:rsid w:val="003E3EAA"/>
    <w:rPr>
      <w:b/>
      <w:i/>
      <w:u w:val="none"/>
    </w:rPr>
  </w:style>
  <w:style w:type="paragraph" w:styleId="BalloonText">
    <w:name w:val="Balloon Text"/>
    <w:basedOn w:val="Normal"/>
    <w:link w:val="BalloonTextChar"/>
    <w:rsid w:val="003E3EAA"/>
    <w:rPr>
      <w:rFonts w:ascii="Tahoma" w:hAnsi="Tahoma" w:cs="Tahoma"/>
      <w:sz w:val="16"/>
      <w:szCs w:val="16"/>
    </w:rPr>
  </w:style>
  <w:style w:type="character" w:customStyle="1" w:styleId="BalloonTextChar">
    <w:name w:val="Balloon Text Char"/>
    <w:basedOn w:val="DefaultParagraphFont"/>
    <w:link w:val="BalloonText"/>
    <w:rsid w:val="003E3E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E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E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EAA"/>
    <w:rPr>
      <w:b/>
      <w:color w:val="660033"/>
      <w:spacing w:val="0"/>
    </w:rPr>
  </w:style>
  <w:style w:type="paragraph" w:customStyle="1" w:styleId="Nameditemlist">
    <w:name w:val="Named item list"/>
    <w:basedOn w:val="BodyText"/>
    <w:qFormat/>
    <w:rsid w:val="003E3EAA"/>
    <w:pPr>
      <w:tabs>
        <w:tab w:val="left" w:pos="2835"/>
      </w:tabs>
      <w:ind w:left="2835" w:hanging="2835"/>
    </w:pPr>
  </w:style>
  <w:style w:type="paragraph" w:customStyle="1" w:styleId="BodyTextnopadding">
    <w:name w:val="Body Text no padding"/>
    <w:basedOn w:val="BodyText"/>
    <w:qFormat/>
    <w:rsid w:val="003E3EAA"/>
    <w:pPr>
      <w:spacing w:before="0" w:after="0"/>
    </w:pPr>
  </w:style>
  <w:style w:type="paragraph" w:customStyle="1" w:styleId="BodyTextBold">
    <w:name w:val="Body Text Bold"/>
    <w:basedOn w:val="BodyText"/>
    <w:qFormat/>
    <w:rsid w:val="003E3EAA"/>
    <w:rPr>
      <w:b/>
    </w:rPr>
  </w:style>
  <w:style w:type="character" w:styleId="Hyperlink">
    <w:name w:val="Hyperlink"/>
    <w:basedOn w:val="DefaultParagraphFont"/>
    <w:uiPriority w:val="99"/>
    <w:unhideWhenUsed/>
    <w:rsid w:val="00BD3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1443</Words>
  <Characters>9184</Characters>
  <Application>Microsoft Office Word</Application>
  <DocSecurity>0</DocSecurity>
  <Lines>316</Lines>
  <Paragraphs>196</Paragraphs>
  <ScaleCrop>false</ScaleCrop>
  <Company>Author-it Software Corporation Ltd.</Company>
  <LinksUpToDate>false</LinksUpToDate>
  <CharactersWithSpaces>10431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MSFSL5002 Remove heritage leadlight and stained glass</dc:title>
  <dc:subject>Approved</dc:subject>
  <dc:creator>Skills Insight</dc:creator>
  <cp:keywords>Release: 1</cp:keywords>
  <dc:description>Review Date: 12 April 2008</dc:description>
  <cp:lastModifiedBy>HSD_TPCMSd.prod</cp:lastModifiedBy>
  <cp:revision>3</cp:revision>
  <dcterms:created xsi:type="dcterms:W3CDTF">2025-03-01T13:40:00Z</dcterms:created>
  <dcterms:modified xsi:type="dcterms:W3CDTF">2025-03-01T13:40:00Z</dcterms:modified>
</cp:coreProperties>
</file>