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3FC" w:rsidP="008913FC">
      <w:pPr>
        <w:pStyle w:val="Title"/>
      </w:pPr>
      <w:r>
        <w:fldChar w:fldCharType="begin"/>
      </w:r>
      <w:r>
        <w:instrText xml:space="preserve"> TITLE   \* MERGEFORMAT </w:instrText>
      </w:r>
      <w:r>
        <w:fldChar w:fldCharType="separate"/>
      </w:r>
      <w:r>
        <w:t>MSFSL5001 Assess conservation requirements</w:t>
      </w:r>
      <w:r>
        <w:fldChar w:fldCharType="end"/>
      </w:r>
    </w:p>
    <w:p w:rsidR="008913FC" w:rsidP="008913FC">
      <w:pPr>
        <w:pStyle w:val="Version"/>
        <w:sectPr w:rsidSect="00984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4D6" w:rsidP="009844D6">
      <w:pPr>
        <w:pStyle w:val="SuperHeading"/>
      </w:pPr>
      <w:r w:rsidRPr="009844D6">
        <w:t>MSFSL5001 Assess conservation requirements</w:t>
      </w:r>
    </w:p>
    <w:p w:rsidR="00000000" w:rsidRPr="009844D6" w:rsidP="009844D6">
      <w:pPr>
        <w:pStyle w:val="Heading1"/>
      </w:pPr>
      <w:bookmarkStart w:id="1" w:name="O_621524"/>
      <w:bookmarkEnd w:id="1"/>
      <w:r w:rsidRPr="009844D6">
        <w:t>Modification History</w:t>
      </w:r>
    </w:p>
    <w:p w:rsidR="00000000" w:rsidRPr="009844D6" w:rsidP="009844D6">
      <w:pPr>
        <w:pStyle w:val="BodyText"/>
      </w:pPr>
      <w:r w:rsidRPr="009844D6">
        <w:t>Release 1 - New unit of competency</w:t>
      </w:r>
    </w:p>
    <w:p w:rsidR="00000000" w:rsidRPr="009844D6" w:rsidP="009844D6">
      <w:pPr>
        <w:pStyle w:val="AllowPageBreak"/>
      </w:pPr>
    </w:p>
    <w:p w:rsidR="00000000" w:rsidRPr="009844D6" w:rsidP="009844D6">
      <w:pPr>
        <w:pStyle w:val="Heading1"/>
      </w:pPr>
      <w:bookmarkStart w:id="2" w:name="O_621532"/>
      <w:bookmarkEnd w:id="2"/>
      <w:r w:rsidRPr="009844D6">
        <w:t>Application</w:t>
      </w:r>
    </w:p>
    <w:p w:rsidR="00000000" w:rsidRPr="009844D6" w:rsidP="009844D6">
      <w:pPr>
        <w:pStyle w:val="BodyText"/>
      </w:pPr>
      <w:r w:rsidRPr="009844D6">
        <w:t>This unit of competency covers assessing leadlight and stained glass panels in order to identify and document their conservation requirements.</w:t>
      </w:r>
    </w:p>
    <w:p w:rsidR="00000000" w:rsidRPr="009844D6" w:rsidP="009844D6">
      <w:pPr>
        <w:pStyle w:val="BodyText"/>
      </w:pPr>
    </w:p>
    <w:p w:rsidR="00000000" w:rsidRPr="009844D6" w:rsidP="009844D6">
      <w:pPr>
        <w:pStyle w:val="BodyText"/>
      </w:pPr>
      <w:r w:rsidRPr="009844D6">
        <w:t>Licensing, legislative or c</w:t>
      </w:r>
      <w:r w:rsidRPr="009844D6">
        <w:t>ertification requirements may apply to this unit and relevant state/territory and local government agencies should be consulted to determine any necessary certification or licensing for undertaking glass and glazing work. Access to construction sites requi</w:t>
      </w:r>
      <w:r w:rsidRPr="009844D6">
        <w:t xml:space="preserve">res certification of general induction training specified by the </w:t>
      </w:r>
      <w:r w:rsidRPr="009844D6">
        <w:rPr>
          <w:rStyle w:val="Emphasis"/>
        </w:rPr>
        <w:t>National Code of Practice for Induction for Construction Work (ASCC 2007)</w:t>
      </w:r>
      <w:r w:rsidRPr="009844D6">
        <w:t>.</w:t>
      </w:r>
    </w:p>
    <w:p w:rsidR="00000000" w:rsidRPr="009844D6" w:rsidP="009844D6">
      <w:pPr>
        <w:pStyle w:val="AllowPageBreak"/>
      </w:pPr>
    </w:p>
    <w:p w:rsidR="00000000" w:rsidRPr="009844D6" w:rsidP="009844D6">
      <w:pPr>
        <w:pStyle w:val="Heading1"/>
      </w:pPr>
      <w:bookmarkStart w:id="3" w:name="O_621531"/>
      <w:bookmarkEnd w:id="3"/>
      <w:r w:rsidRPr="009844D6">
        <w:t>Pre-requisite Unit</w:t>
      </w:r>
    </w:p>
    <w:p w:rsidR="00000000" w:rsidRPr="009844D6" w:rsidP="009844D6">
      <w:pPr>
        <w:pStyle w:val="Heading1"/>
      </w:pPr>
      <w:bookmarkStart w:id="4" w:name="O_621530"/>
      <w:bookmarkEnd w:id="4"/>
      <w:r w:rsidRPr="009844D6">
        <w:t>Competency Field</w:t>
      </w:r>
    </w:p>
    <w:p w:rsidR="00000000" w:rsidRPr="009844D6" w:rsidP="009844D6">
      <w:pPr>
        <w:pStyle w:val="Heading1"/>
      </w:pPr>
      <w:bookmarkStart w:id="5" w:name="O_621529"/>
      <w:bookmarkEnd w:id="5"/>
      <w:r w:rsidRPr="009844D6">
        <w:t>Unit Sector</w:t>
      </w:r>
    </w:p>
    <w:p w:rsidR="00000000" w:rsidRPr="009844D6" w:rsidP="009844D6">
      <w:pPr>
        <w:pStyle w:val="BodyText"/>
      </w:pPr>
      <w:r w:rsidRPr="009844D6">
        <w:t>Leadlight and Stain</w:t>
      </w:r>
      <w:r w:rsidRPr="009844D6">
        <w:t>ed Glass</w:t>
      </w:r>
    </w:p>
    <w:p w:rsidR="00000000" w:rsidRPr="009844D6" w:rsidP="009844D6">
      <w:pPr>
        <w:pStyle w:val="AllowPageBreak"/>
      </w:pPr>
    </w:p>
    <w:p w:rsidR="00000000" w:rsidRPr="009844D6" w:rsidP="009844D6">
      <w:pPr>
        <w:pStyle w:val="Heading1"/>
      </w:pPr>
      <w:bookmarkStart w:id="6" w:name="O_621528"/>
      <w:bookmarkEnd w:id="6"/>
      <w:r w:rsidRPr="009844D6">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9844D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Performance criteria describe the performance needed to demonstrate achievement of the element.</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1</w:t>
            </w:r>
          </w:p>
        </w:tc>
        <w:tc>
          <w:tcPr>
            <w:tcW w:w="2129"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Identify conservation assessment requirements</w:t>
            </w: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1.1</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Applicable work health and safety (WHS), legislative and organisational requirements relevant to leadlight and stained glass operations are verified and complied with</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1.2</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Purpose of the assessment is established, confirmed and clarified with appropriate</w:t>
            </w:r>
            <w:r w:rsidRPr="009844D6">
              <w:t xml:space="preserve"> personnel </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1.3</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 xml:space="preserve">Assessment outcomes are identified and confirmed </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2</w:t>
            </w:r>
          </w:p>
        </w:tc>
        <w:tc>
          <w:tcPr>
            <w:tcW w:w="2129"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Plan assessment processes</w:t>
            </w: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2.1</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Location of the leadlight and stained glass panels to be assessed is identified and observed</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2.2</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 xml:space="preserve">Assessment sequence is identified and a work plan is </w:t>
            </w:r>
            <w:r w:rsidRPr="009844D6">
              <w:t xml:space="preserve">developed </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2.3</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Tools and equipment required for the assessment are identified</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2.4</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Approval of assessment plan is obtained as required by agreed procedures</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3</w:t>
            </w:r>
          </w:p>
        </w:tc>
        <w:tc>
          <w:tcPr>
            <w:tcW w:w="2129"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Prepare for the assessment</w:t>
            </w: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3.1</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Tools and equipment are assembled, positioned and checked prior to use to ensure they are appropriate for the assessment, serviceable and in a safe condition</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3.2</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Plans and other documents are assembled and positioned to allow for confirmation of the pan</w:t>
            </w:r>
            <w:r w:rsidRPr="009844D6">
              <w:t>el structure and placement</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3.3</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Photographs are taken of the panel for documentation of condition and for later reference</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4</w:t>
            </w:r>
          </w:p>
        </w:tc>
        <w:tc>
          <w:tcPr>
            <w:tcW w:w="2129"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Assess the panel</w:t>
            </w: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4.1</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Glass faults are identified and noted</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4.2</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Structural faults or problems are identified and noted</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4.3</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 xml:space="preserve">Environmental effects are identified and noted </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4.4</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 xml:space="preserve">Other problems are identified and noted </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5</w:t>
            </w:r>
          </w:p>
        </w:tc>
        <w:tc>
          <w:tcPr>
            <w:tcW w:w="2129"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Finalise and report on the assessment</w:t>
            </w: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5.1</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 xml:space="preserve">Tools and equipment are removed, cleaned and stored appropriately </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5.2</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Assessment area is cleaned and rubbish di</w:t>
            </w:r>
            <w:r w:rsidRPr="009844D6">
              <w:t>sposed of, as appropriate</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5.3</w:t>
            </w:r>
          </w:p>
        </w:tc>
        <w:tc>
          <w:tcPr>
            <w:tcW w:w="5866"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Conservation requirements resulting from the assessment are determined and confirmed with appropriate personnel</w:t>
            </w:r>
          </w:p>
        </w:tc>
      </w:tr>
      <w:tr w:rsidTr="009844D6">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5.4</w:t>
            </w:r>
          </w:p>
        </w:tc>
        <w:tc>
          <w:tcPr>
            <w:tcW w:w="5866" w:type="dxa"/>
            <w:tcBorders>
              <w:top w:val="nil"/>
              <w:left w:val="nil"/>
              <w:bottom w:val="nil"/>
              <w:right w:val="nil"/>
            </w:tcBorders>
            <w:tcMar>
              <w:top w:w="0" w:type="dxa"/>
              <w:left w:w="62" w:type="dxa"/>
              <w:bottom w:w="0" w:type="dxa"/>
              <w:right w:w="62" w:type="dxa"/>
            </w:tcMar>
          </w:tcPr>
          <w:p w:rsidR="00000000" w:rsidRPr="009844D6" w:rsidP="009844D6">
            <w:pPr>
              <w:pStyle w:val="BodyText"/>
            </w:pPr>
            <w:r w:rsidRPr="009844D6">
              <w:t xml:space="preserve">Condition report is prepared and provided, as required </w:t>
            </w:r>
          </w:p>
        </w:tc>
      </w:tr>
    </w:tbl>
    <w:p w:rsidR="00000000" w:rsidRPr="009844D6" w:rsidP="009844D6">
      <w:pPr>
        <w:pStyle w:val="BodyText"/>
      </w:pPr>
    </w:p>
    <w:p w:rsidR="00000000" w:rsidRPr="009844D6" w:rsidP="009844D6">
      <w:pPr>
        <w:pStyle w:val="AllowPageBreak"/>
      </w:pPr>
    </w:p>
    <w:p w:rsidR="00000000" w:rsidRPr="009844D6" w:rsidP="009844D6">
      <w:pPr>
        <w:pStyle w:val="Heading1"/>
      </w:pPr>
      <w:bookmarkStart w:id="7" w:name="O_621527"/>
      <w:bookmarkEnd w:id="7"/>
      <w:r w:rsidRPr="009844D6">
        <w:t>Foundation Skills</w:t>
      </w:r>
    </w:p>
    <w:p w:rsidR="00000000" w:rsidRPr="009844D6" w:rsidP="009844D6">
      <w:pPr>
        <w:pStyle w:val="BodyText"/>
      </w:pPr>
      <w:r w:rsidRPr="009844D6">
        <w:t>Foundation skills essential to performance are explicit in the performance criteria of this unit of competency. Detail on appropriate performance levels for each furnishing unit of competency in reading, writing, oral communication and numeracy utilising t</w:t>
      </w:r>
      <w:r w:rsidRPr="009844D6">
        <w:t>he Australian Core Skills Framework (ACSF) are provided in the Furnishing Training Package Implementation Guide.</w:t>
      </w:r>
    </w:p>
    <w:p w:rsidR="00000000" w:rsidRPr="009844D6" w:rsidP="009844D6">
      <w:pPr>
        <w:pStyle w:val="AllowPageBreak"/>
      </w:pPr>
    </w:p>
    <w:p w:rsidR="00000000" w:rsidRPr="009844D6" w:rsidP="009844D6">
      <w:pPr>
        <w:pStyle w:val="Heading1"/>
      </w:pPr>
      <w:bookmarkStart w:id="8" w:name="O_621526"/>
      <w:bookmarkEnd w:id="8"/>
      <w:r w:rsidRPr="009844D6">
        <w:t>Range of Conditions</w:t>
      </w:r>
    </w:p>
    <w:tbl>
      <w:tblPr>
        <w:tblW w:w="0" w:type="auto"/>
        <w:tblLayout w:type="fixed"/>
        <w:tblCellMar>
          <w:left w:w="62" w:type="dxa"/>
          <w:right w:w="62" w:type="dxa"/>
        </w:tblCellMar>
        <w:tblLook w:val="0000"/>
      </w:tblPr>
      <w:tblGrid>
        <w:gridCol w:w="2760"/>
        <w:gridCol w:w="6312"/>
      </w:tblGrid>
      <w:tr w:rsidTr="009844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t>Specifies different work environments and conditions that may affect performance. Essential operating cond</w:t>
            </w:r>
            <w:r w:rsidRPr="009844D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844D6">
              <w:t>to the work environment.</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 xml:space="preserve">WHS requirements, including legislation, building codes, material safety management systems, hazardous and dangerous goods codes, and local safe operating procedures or equivalent </w:t>
            </w:r>
          </w:p>
          <w:p w:rsidR="00000000" w:rsidRPr="009844D6" w:rsidP="009844D6">
            <w:pPr>
              <w:pStyle w:val="ListBullet"/>
            </w:pPr>
            <w:r w:rsidRPr="009844D6">
              <w:t>work is carried out in accordance with legislative obligations, environmental legislation, relevant health regulations, manual handling procedures and organisation insurance requirements</w:t>
            </w:r>
          </w:p>
          <w:p w:rsidR="00000000" w:rsidP="009844D6">
            <w:pPr>
              <w:pStyle w:val="ListBullet"/>
              <w:rPr>
                <w:lang w:val="en-NZ"/>
              </w:rPr>
            </w:pPr>
            <w:r w:rsidRPr="009844D6">
              <w:t>work requires individuals to demonstrate discretion and apply judgeme</w:t>
            </w:r>
            <w:r w:rsidRPr="009844D6">
              <w:t>nt and problem solving to complex issues</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clients</w:t>
            </w:r>
          </w:p>
          <w:p w:rsidR="00000000" w:rsidRPr="009844D6" w:rsidP="009844D6">
            <w:pPr>
              <w:pStyle w:val="ListBullet"/>
            </w:pPr>
            <w:r w:rsidRPr="009844D6">
              <w:t xml:space="preserve">architects </w:t>
            </w:r>
          </w:p>
          <w:p w:rsidR="00000000" w:rsidRPr="009844D6" w:rsidP="009844D6">
            <w:pPr>
              <w:pStyle w:val="ListBullet"/>
            </w:pPr>
            <w:r w:rsidRPr="009844D6">
              <w:t xml:space="preserve">engineers </w:t>
            </w:r>
          </w:p>
          <w:p w:rsidR="00000000" w:rsidRPr="009844D6" w:rsidP="009844D6">
            <w:pPr>
              <w:pStyle w:val="ListBullet"/>
            </w:pPr>
            <w:r w:rsidRPr="009844D6">
              <w:t xml:space="preserve">construction supervisors </w:t>
            </w:r>
          </w:p>
          <w:p w:rsidR="00000000" w:rsidRPr="009844D6" w:rsidP="009844D6">
            <w:pPr>
              <w:pStyle w:val="ListBullet"/>
            </w:pPr>
            <w:r w:rsidRPr="009844D6">
              <w:t xml:space="preserve">members of heritage committees </w:t>
            </w:r>
          </w:p>
          <w:p w:rsidR="00000000" w:rsidRPr="009844D6" w:rsidP="009844D6">
            <w:pPr>
              <w:pStyle w:val="ListBullet"/>
            </w:pPr>
            <w:r w:rsidRPr="009844D6">
              <w:t xml:space="preserve">government agencies </w:t>
            </w:r>
          </w:p>
          <w:p w:rsidR="00000000" w:rsidP="009844D6">
            <w:pPr>
              <w:pStyle w:val="ListBullet"/>
              <w:rPr>
                <w:lang w:val="en-NZ"/>
              </w:rPr>
            </w:pPr>
            <w:r w:rsidRPr="009844D6">
              <w:t xml:space="preserve">other specialist artisans, such as stonemasons, where appropriate </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Assessment outcomes include:</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 xml:space="preserve">the requirement to conserve the leadlight or stained glass panels </w:t>
            </w:r>
          </w:p>
          <w:p w:rsidR="00000000" w:rsidRPr="009844D6" w:rsidP="009844D6">
            <w:pPr>
              <w:pStyle w:val="ListBullet"/>
            </w:pPr>
            <w:r w:rsidRPr="009844D6">
              <w:t xml:space="preserve">the cost of conservation </w:t>
            </w:r>
          </w:p>
          <w:p w:rsidR="00000000" w:rsidP="009844D6">
            <w:pPr>
              <w:pStyle w:val="ListBullet"/>
              <w:rPr>
                <w:lang w:val="en-NZ"/>
              </w:rPr>
            </w:pPr>
            <w:r w:rsidRPr="009844D6">
              <w:t xml:space="preserve">recommendations on future tasks </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 xml:space="preserve">work benches </w:t>
            </w:r>
          </w:p>
          <w:p w:rsidR="00000000" w:rsidRPr="009844D6" w:rsidP="009844D6">
            <w:pPr>
              <w:pStyle w:val="ListBullet"/>
            </w:pPr>
            <w:r w:rsidRPr="009844D6">
              <w:t xml:space="preserve">ladders and scaffolding </w:t>
            </w:r>
          </w:p>
          <w:p w:rsidR="00000000" w:rsidRPr="009844D6" w:rsidP="009844D6">
            <w:pPr>
              <w:pStyle w:val="ListBullet"/>
            </w:pPr>
            <w:r w:rsidRPr="009844D6">
              <w:t xml:space="preserve">cameras </w:t>
            </w:r>
          </w:p>
          <w:p w:rsidR="00000000" w:rsidRPr="009844D6" w:rsidP="009844D6">
            <w:pPr>
              <w:pStyle w:val="ListBullet"/>
            </w:pPr>
            <w:r w:rsidRPr="009844D6">
              <w:t>magnifying glasses</w:t>
            </w:r>
          </w:p>
          <w:p w:rsidR="00000000" w:rsidRPr="009844D6" w:rsidP="009844D6">
            <w:pPr>
              <w:pStyle w:val="ListBullet"/>
            </w:pPr>
            <w:r w:rsidRPr="009844D6">
              <w:t>li</w:t>
            </w:r>
            <w:r w:rsidRPr="009844D6">
              <w:t xml:space="preserve">ghts </w:t>
            </w:r>
          </w:p>
          <w:p w:rsidR="00000000" w:rsidP="009844D6">
            <w:pPr>
              <w:pStyle w:val="ListBullet"/>
              <w:rPr>
                <w:lang w:val="en-NZ"/>
              </w:rPr>
            </w:pPr>
            <w:r w:rsidRPr="009844D6">
              <w:t>general hand tools</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Plans and other documents include:</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original architectural plans</w:t>
            </w:r>
          </w:p>
          <w:p w:rsidR="00000000" w:rsidRPr="009844D6" w:rsidP="009844D6">
            <w:pPr>
              <w:pStyle w:val="ListBullet"/>
            </w:pPr>
            <w:r w:rsidRPr="009844D6">
              <w:t>original drawings, cartoons and cut lines for glass panel</w:t>
            </w:r>
          </w:p>
          <w:p w:rsidR="00000000" w:rsidRPr="009844D6" w:rsidP="009844D6">
            <w:pPr>
              <w:pStyle w:val="ListBullet"/>
            </w:pPr>
            <w:r w:rsidRPr="009844D6">
              <w:t xml:space="preserve">historical documentation and photographs </w:t>
            </w:r>
          </w:p>
          <w:p w:rsidR="00000000" w:rsidRPr="009844D6" w:rsidP="009844D6">
            <w:pPr>
              <w:pStyle w:val="ListBullet"/>
            </w:pPr>
            <w:r w:rsidRPr="009844D6">
              <w:t xml:space="preserve">charcoal rubbings </w:t>
            </w:r>
          </w:p>
          <w:p w:rsidR="00000000" w:rsidP="009844D6">
            <w:pPr>
              <w:pStyle w:val="ListBullet"/>
              <w:rPr>
                <w:lang w:val="en-NZ"/>
              </w:rPr>
            </w:pPr>
            <w:r w:rsidRPr="009844D6">
              <w:t>sketches</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Glass faults include:</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 xml:space="preserve">cracking </w:t>
            </w:r>
          </w:p>
          <w:p w:rsidR="00000000" w:rsidRPr="009844D6" w:rsidP="009844D6">
            <w:pPr>
              <w:pStyle w:val="ListBullet"/>
            </w:pPr>
            <w:r w:rsidRPr="009844D6">
              <w:t xml:space="preserve">crazing and missing sections </w:t>
            </w:r>
          </w:p>
          <w:p w:rsidR="00000000" w:rsidRPr="009844D6" w:rsidP="009844D6">
            <w:pPr>
              <w:pStyle w:val="ListBullet"/>
            </w:pPr>
            <w:r w:rsidRPr="009844D6">
              <w:t xml:space="preserve">deterioration of glass paint </w:t>
            </w:r>
          </w:p>
          <w:p w:rsidR="00000000" w:rsidRPr="009844D6" w:rsidP="009844D6">
            <w:pPr>
              <w:pStyle w:val="ListBullet"/>
            </w:pPr>
            <w:r w:rsidRPr="009844D6">
              <w:t xml:space="preserve">loose or flaking paint </w:t>
            </w:r>
          </w:p>
          <w:p w:rsidR="00000000" w:rsidP="009844D6">
            <w:pPr>
              <w:pStyle w:val="ListBullet"/>
              <w:rPr>
                <w:lang w:val="en-NZ"/>
              </w:rPr>
            </w:pPr>
            <w:r w:rsidRPr="009844D6">
              <w:t>corroding glass through water or chemical action</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Structural faults include:</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 xml:space="preserve">oxidation and rusting supports </w:t>
            </w:r>
          </w:p>
          <w:p w:rsidR="00000000" w:rsidRPr="009844D6" w:rsidP="009844D6">
            <w:pPr>
              <w:pStyle w:val="ListBullet"/>
            </w:pPr>
            <w:r w:rsidRPr="009844D6">
              <w:t xml:space="preserve">panel frame deterioration </w:t>
            </w:r>
          </w:p>
          <w:p w:rsidR="00000000" w:rsidRPr="009844D6" w:rsidP="009844D6">
            <w:pPr>
              <w:pStyle w:val="ListBullet"/>
            </w:pPr>
            <w:r w:rsidRPr="009844D6">
              <w:t xml:space="preserve">buckled and bowing panels </w:t>
            </w:r>
          </w:p>
          <w:p w:rsidR="00000000" w:rsidRPr="009844D6" w:rsidP="009844D6">
            <w:pPr>
              <w:pStyle w:val="ListBullet"/>
            </w:pPr>
            <w:r w:rsidRPr="009844D6">
              <w:t xml:space="preserve">cracked cames and defective putty </w:t>
            </w:r>
          </w:p>
          <w:p w:rsidR="00000000" w:rsidRPr="009844D6" w:rsidP="009844D6">
            <w:pPr>
              <w:pStyle w:val="ListBullet"/>
            </w:pPr>
            <w:r w:rsidRPr="009844D6">
              <w:t xml:space="preserve">faulty frames or frame settings </w:t>
            </w:r>
          </w:p>
          <w:p w:rsidR="00000000" w:rsidP="009844D6">
            <w:pPr>
              <w:pStyle w:val="ListBullet"/>
              <w:rPr>
                <w:lang w:val="en-NZ"/>
              </w:rPr>
            </w:pPr>
            <w:r w:rsidRPr="009844D6">
              <w:t>broken tie wires and support bars</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Environmental effects include:</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 xml:space="preserve">colour changes </w:t>
            </w:r>
          </w:p>
          <w:p w:rsidR="00000000" w:rsidRPr="009844D6" w:rsidP="009844D6">
            <w:pPr>
              <w:pStyle w:val="ListBullet"/>
            </w:pPr>
            <w:r w:rsidRPr="009844D6">
              <w:t xml:space="preserve">surface etching </w:t>
            </w:r>
          </w:p>
          <w:p w:rsidR="00000000" w:rsidP="009844D6">
            <w:pPr>
              <w:pStyle w:val="ListBullet"/>
              <w:rPr>
                <w:lang w:val="en-NZ"/>
              </w:rPr>
            </w:pPr>
            <w:r w:rsidRPr="009844D6">
              <w:t>lead oxidation</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Other problems include:</w:t>
            </w:r>
          </w:p>
        </w:tc>
        <w:tc>
          <w:tcPr>
            <w:tcW w:w="6312" w:type="dxa"/>
            <w:tcBorders>
              <w:top w:val="nil"/>
              <w:left w:val="nil"/>
              <w:bottom w:val="nil"/>
              <w:right w:val="nil"/>
            </w:tcBorders>
            <w:tcMar>
              <w:top w:w="0" w:type="dxa"/>
              <w:left w:w="62" w:type="dxa"/>
              <w:bottom w:w="0" w:type="dxa"/>
              <w:right w:w="62" w:type="dxa"/>
            </w:tcMar>
          </w:tcPr>
          <w:p w:rsidR="00000000" w:rsidP="009844D6">
            <w:pPr>
              <w:pStyle w:val="ListBullet"/>
              <w:rPr>
                <w:lang w:val="en-NZ"/>
              </w:rPr>
            </w:pPr>
            <w:r w:rsidRPr="009844D6">
              <w:t>building, wall and roof problems requiring specific remedial action, not directly related to the panel</w:t>
            </w:r>
          </w:p>
        </w:tc>
      </w:tr>
      <w:tr w:rsidTr="009844D6">
        <w:tblPrEx>
          <w:tblW w:w="0" w:type="auto"/>
          <w:tblLayout w:type="fixed"/>
          <w:tblCellMar>
            <w:left w:w="62" w:type="dxa"/>
            <w:right w:w="62" w:type="dxa"/>
          </w:tblCellMar>
          <w:tblLook w:val="0000"/>
        </w:tblPrEx>
        <w:trPr>
          <w:trHeight w:val="2354"/>
        </w:trPr>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Conservation includes:</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advice in the Australia International Council on Monuments and Sites (ICOMOS) Burra Charter as meaning all of the processes of l</w:t>
            </w:r>
            <w:r w:rsidRPr="009844D6">
              <w:t>ooking after a place needed to retain cultural significance</w:t>
            </w:r>
          </w:p>
          <w:p w:rsidR="00000000" w:rsidP="009844D6">
            <w:pPr>
              <w:pStyle w:val="ListBullet"/>
              <w:rPr>
                <w:lang w:val="en-NZ"/>
              </w:rPr>
            </w:pPr>
            <w:r w:rsidRPr="009844D6">
              <w:t>preservation, restoration, reconstruction and adaptation dependent upon specific circumstances (or a combination of more than one of these) respecting and understanding the requirements of other s</w:t>
            </w:r>
            <w:r w:rsidRPr="009844D6">
              <w:t>pecialist crafts and the role of other specialist artisans</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Preservation includes:</w:t>
            </w:r>
          </w:p>
        </w:tc>
        <w:tc>
          <w:tcPr>
            <w:tcW w:w="6312" w:type="dxa"/>
            <w:tcBorders>
              <w:top w:val="nil"/>
              <w:left w:val="nil"/>
              <w:bottom w:val="nil"/>
              <w:right w:val="nil"/>
            </w:tcBorders>
            <w:tcMar>
              <w:top w:w="0" w:type="dxa"/>
              <w:left w:w="62" w:type="dxa"/>
              <w:bottom w:w="0" w:type="dxa"/>
              <w:right w:w="62" w:type="dxa"/>
            </w:tcMar>
          </w:tcPr>
          <w:p w:rsidR="00000000" w:rsidP="009844D6">
            <w:pPr>
              <w:pStyle w:val="ListBullet"/>
              <w:rPr>
                <w:lang w:val="en-NZ"/>
              </w:rPr>
            </w:pPr>
            <w:r w:rsidRPr="009844D6">
              <w:t>maintaining the leadlight and stained glass panel in its existing state and of retarding deterioration</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Restoration includes:</w:t>
            </w:r>
          </w:p>
        </w:tc>
        <w:tc>
          <w:tcPr>
            <w:tcW w:w="6312" w:type="dxa"/>
            <w:tcBorders>
              <w:top w:val="nil"/>
              <w:left w:val="nil"/>
              <w:bottom w:val="nil"/>
              <w:right w:val="nil"/>
            </w:tcBorders>
            <w:tcMar>
              <w:top w:w="0" w:type="dxa"/>
              <w:left w:w="62" w:type="dxa"/>
              <w:bottom w:w="0" w:type="dxa"/>
              <w:right w:w="62" w:type="dxa"/>
            </w:tcMar>
          </w:tcPr>
          <w:p w:rsidR="00000000" w:rsidP="009844D6">
            <w:pPr>
              <w:pStyle w:val="ListBullet"/>
              <w:rPr>
                <w:lang w:val="en-NZ"/>
              </w:rPr>
            </w:pPr>
            <w:r w:rsidRPr="009844D6">
              <w:t>returning the leadlight and stained glass panel to a known earlier state by removing accretions or by re-assembling existing components without the introduction of new material</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Reconstruction includes:</w:t>
            </w:r>
          </w:p>
        </w:tc>
        <w:tc>
          <w:tcPr>
            <w:tcW w:w="6312" w:type="dxa"/>
            <w:tcBorders>
              <w:top w:val="nil"/>
              <w:left w:val="nil"/>
              <w:bottom w:val="nil"/>
              <w:right w:val="nil"/>
            </w:tcBorders>
            <w:tcMar>
              <w:top w:w="0" w:type="dxa"/>
              <w:left w:w="62" w:type="dxa"/>
              <w:bottom w:w="0" w:type="dxa"/>
              <w:right w:w="62" w:type="dxa"/>
            </w:tcMar>
          </w:tcPr>
          <w:p w:rsidR="00000000" w:rsidP="009844D6">
            <w:pPr>
              <w:pStyle w:val="ListBullet"/>
              <w:rPr>
                <w:lang w:val="en-NZ"/>
              </w:rPr>
            </w:pPr>
            <w:r w:rsidRPr="009844D6">
              <w:t>returning the leadlight and stained glass panel to a</w:t>
            </w:r>
            <w:r w:rsidRPr="009844D6">
              <w:t xml:space="preserve"> known earlier state and is distinguished by the introduction of new materials</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Condition report includes:</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 xml:space="preserve">detailing the extent of the problems </w:t>
            </w:r>
          </w:p>
          <w:p w:rsidR="00000000" w:rsidRPr="009844D6" w:rsidP="009844D6">
            <w:pPr>
              <w:pStyle w:val="ListBullet"/>
            </w:pPr>
            <w:r w:rsidRPr="009844D6">
              <w:t>recommended solutions, including methodologies</w:t>
            </w:r>
          </w:p>
          <w:p w:rsidR="00000000" w:rsidRPr="009844D6" w:rsidP="009844D6">
            <w:pPr>
              <w:pStyle w:val="ListBullet"/>
            </w:pPr>
            <w:r w:rsidRPr="009844D6">
              <w:t>photographic evidence of current condition and location</w:t>
            </w:r>
          </w:p>
          <w:p w:rsidR="00000000" w:rsidP="009844D6">
            <w:pPr>
              <w:pStyle w:val="ListBullet"/>
              <w:rPr>
                <w:lang w:val="en-NZ"/>
              </w:rPr>
            </w:pPr>
            <w:r w:rsidRPr="009844D6">
              <w:t>legisla</w:t>
            </w:r>
            <w:r w:rsidRPr="009844D6">
              <w:t xml:space="preserve">tive requirements related to heritage leadlight and stained glass and their effect on the recommendations and probable costing </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844D6" w:rsidP="009844D6">
            <w:pPr>
              <w:pStyle w:val="BodyText"/>
            </w:pPr>
            <w:r w:rsidRPr="009844D6">
              <w:rPr>
                <w:rStyle w:val="SpecialBold"/>
              </w:rPr>
              <w:t>Personal protective equipment includes:</w:t>
            </w:r>
          </w:p>
          <w:p w:rsidR="00000000" w:rsidP="009844D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that prescribed under legislation, regulation and enterprise policies and practices:</w:t>
            </w:r>
          </w:p>
          <w:p w:rsidR="00000000" w:rsidRPr="009844D6" w:rsidP="009844D6">
            <w:pPr>
              <w:pStyle w:val="ListBullet2"/>
            </w:pPr>
            <w:r w:rsidRPr="009844D6">
              <w:t>gauntlets</w:t>
            </w:r>
          </w:p>
          <w:p w:rsidR="00000000" w:rsidRPr="009844D6" w:rsidP="009844D6">
            <w:pPr>
              <w:pStyle w:val="ListBullet2"/>
            </w:pPr>
            <w:r w:rsidRPr="009844D6">
              <w:t>gloves</w:t>
            </w:r>
          </w:p>
          <w:p w:rsidR="00000000" w:rsidRPr="009844D6" w:rsidP="009844D6">
            <w:pPr>
              <w:pStyle w:val="ListBullet2"/>
            </w:pPr>
            <w:r w:rsidRPr="009844D6">
              <w:t>safety glasses</w:t>
            </w:r>
          </w:p>
          <w:p w:rsidR="00000000" w:rsidRPr="009844D6" w:rsidP="009844D6">
            <w:pPr>
              <w:pStyle w:val="ListBullet2"/>
            </w:pPr>
            <w:r w:rsidRPr="009844D6">
              <w:t>hard hats</w:t>
            </w:r>
          </w:p>
          <w:p w:rsidR="00000000" w:rsidRPr="009844D6" w:rsidP="009844D6">
            <w:pPr>
              <w:pStyle w:val="ListBullet2"/>
            </w:pPr>
            <w:r w:rsidRPr="009844D6">
              <w:t>safety footwear</w:t>
            </w:r>
          </w:p>
          <w:p w:rsidR="00000000" w:rsidP="009844D6">
            <w:pPr>
              <w:pStyle w:val="ListBullet2"/>
              <w:rPr>
                <w:lang w:val="en-NZ"/>
              </w:rPr>
            </w:pPr>
            <w:r w:rsidRPr="009844D6">
              <w:t>aprons and overalls</w:t>
            </w:r>
          </w:p>
        </w:tc>
      </w:tr>
      <w:tr w:rsidTr="009844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844D6">
            <w:pPr>
              <w:pStyle w:val="BodyText"/>
              <w:rPr>
                <w:lang w:val="en-NZ"/>
              </w:rPr>
            </w:pPr>
            <w:r w:rsidRPr="009844D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844D6" w:rsidP="009844D6">
            <w:pPr>
              <w:pStyle w:val="ListBullet"/>
            </w:pPr>
            <w:r w:rsidRPr="009844D6">
              <w:t xml:space="preserve">workplace procedures relating to the use of tools and equipment and personal protective equipment </w:t>
            </w:r>
          </w:p>
          <w:p w:rsidR="00000000" w:rsidRPr="009844D6" w:rsidP="009844D6">
            <w:pPr>
              <w:pStyle w:val="ListBullet"/>
            </w:pPr>
            <w:r w:rsidRPr="009844D6">
              <w:t xml:space="preserve">work instructions, including job sheets, cutting lists, plans, drawings and designs </w:t>
            </w:r>
          </w:p>
          <w:p w:rsidR="00000000" w:rsidRPr="009844D6" w:rsidP="009844D6">
            <w:pPr>
              <w:pStyle w:val="ListBullet"/>
            </w:pPr>
            <w:r w:rsidRPr="009844D6">
              <w:t xml:space="preserve">workplace procedures relating to reporting and communication </w:t>
            </w:r>
          </w:p>
          <w:p w:rsidR="00000000" w:rsidRPr="009844D6" w:rsidP="009844D6">
            <w:pPr>
              <w:pStyle w:val="ListBullet"/>
            </w:pPr>
            <w:r w:rsidRPr="009844D6">
              <w:t>manufacturer specifications and operational procedures</w:t>
            </w:r>
          </w:p>
        </w:tc>
      </w:tr>
    </w:tbl>
    <w:p w:rsidR="00000000" w:rsidRPr="009844D6" w:rsidP="009844D6">
      <w:pPr>
        <w:pStyle w:val="BodyText"/>
      </w:pPr>
    </w:p>
    <w:p w:rsidR="00000000" w:rsidRPr="009844D6" w:rsidP="009844D6">
      <w:pPr>
        <w:pStyle w:val="AllowPageBreak"/>
      </w:pPr>
    </w:p>
    <w:p w:rsidR="00000000" w:rsidRPr="009844D6" w:rsidP="009844D6">
      <w:pPr>
        <w:pStyle w:val="Heading1"/>
      </w:pPr>
      <w:bookmarkStart w:id="9" w:name="O_621525"/>
      <w:bookmarkEnd w:id="9"/>
      <w:r w:rsidRPr="009844D6">
        <w:t>Unit Mapping Information</w:t>
      </w:r>
    </w:p>
    <w:p w:rsidR="00000000" w:rsidRPr="009844D6" w:rsidP="009844D6">
      <w:pPr>
        <w:pStyle w:val="BodyText"/>
      </w:pPr>
      <w:r w:rsidRPr="009844D6">
        <w:t>Supersedes</w:t>
      </w:r>
      <w:r w:rsidRPr="009844D6">
        <w:t xml:space="preserve"> and is equivalent to LMFSL5001B Assess conservation requirements.</w:t>
      </w:r>
    </w:p>
    <w:p w:rsidR="00000000" w:rsidRPr="009844D6" w:rsidP="009844D6">
      <w:pPr>
        <w:pStyle w:val="AllowPageBreak"/>
      </w:pPr>
    </w:p>
    <w:p w:rsidR="00000000" w:rsidRPr="009844D6" w:rsidP="009844D6">
      <w:pPr>
        <w:pStyle w:val="Heading1"/>
      </w:pPr>
      <w:bookmarkStart w:id="10" w:name="O_621518"/>
      <w:bookmarkEnd w:id="10"/>
      <w:r w:rsidRPr="009844D6">
        <w:t>Links</w:t>
      </w:r>
    </w:p>
    <w:p w:rsidR="00000000" w:rsidRPr="009844D6" w:rsidP="009844D6">
      <w:pPr>
        <w:pStyle w:val="BodyText"/>
      </w:pPr>
      <w:r w:rsidRPr="009844D6">
        <w:t>Companion Volume implementation guides are found in VETNet - https://vetnet.education.gov.au/Pages/TrainingDocs.aspx?q=0601ab95-583a-4e93-b2d4-cfb27b03ed73</w:t>
      </w:r>
    </w:p>
    <w:p w:rsidR="00000000" w:rsidRPr="009844D6" w:rsidP="009844D6"/>
    <w:sectPr w:rsidSect="00984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D6" w:rsidRPr="008913FC" w:rsidP="00891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3FC" w:rsidP="00984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13FC" w:rsidP="009844D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13FC" w:rsidP="00984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3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4D6" w:rsidRPr="008913FC" w:rsidP="008913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3FC" w:rsidRPr="002D2AF8" w:rsidP="009844D6">
    <w:pPr>
      <w:pStyle w:val="Header"/>
      <w:framePr w:wrap="around"/>
    </w:pPr>
    <w:r>
      <w:fldChar w:fldCharType="begin"/>
    </w:r>
    <w:r>
      <w:instrText xml:space="preserve"> TITLE   \* MERGEFORMAT </w:instrText>
    </w:r>
    <w:r>
      <w:fldChar w:fldCharType="separate"/>
    </w:r>
    <w:r>
      <w:t>MSFSL5001 Assess conservation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913FC" w:rsidP="00984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50A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AC1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C6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4D6"/>
    <w:pPr>
      <w:spacing w:before="360" w:after="60"/>
      <w:outlineLvl w:val="0"/>
    </w:pPr>
    <w:rPr>
      <w:sz w:val="32"/>
    </w:rPr>
  </w:style>
  <w:style w:type="paragraph" w:styleId="Heading2">
    <w:name w:val="heading 2"/>
    <w:basedOn w:val="HeadingBase"/>
    <w:next w:val="BodyText"/>
    <w:link w:val="Heading2Char"/>
    <w:qFormat/>
    <w:rsid w:val="009844D6"/>
    <w:pPr>
      <w:keepLines/>
      <w:spacing w:before="240" w:after="120"/>
      <w:outlineLvl w:val="1"/>
    </w:pPr>
    <w:rPr>
      <w:sz w:val="28"/>
      <w:szCs w:val="40"/>
    </w:rPr>
  </w:style>
  <w:style w:type="paragraph" w:styleId="Heading3">
    <w:name w:val="heading 3"/>
    <w:basedOn w:val="HeadingBase"/>
    <w:next w:val="BodyText"/>
    <w:link w:val="Heading3Char"/>
    <w:qFormat/>
    <w:rsid w:val="009844D6"/>
    <w:pPr>
      <w:spacing w:before="180" w:after="120"/>
      <w:outlineLvl w:val="2"/>
    </w:pPr>
    <w:rPr>
      <w:spacing w:val="-10"/>
      <w:kern w:val="32"/>
    </w:rPr>
  </w:style>
  <w:style w:type="paragraph" w:styleId="Heading4">
    <w:name w:val="heading 4"/>
    <w:basedOn w:val="HeadingBase"/>
    <w:next w:val="BodyText"/>
    <w:link w:val="Heading4Char"/>
    <w:qFormat/>
    <w:rsid w:val="009844D6"/>
    <w:pPr>
      <w:spacing w:before="160" w:after="120"/>
      <w:outlineLvl w:val="3"/>
    </w:pPr>
    <w:rPr>
      <w:sz w:val="22"/>
    </w:rPr>
  </w:style>
  <w:style w:type="paragraph" w:styleId="Heading5">
    <w:name w:val="heading 5"/>
    <w:basedOn w:val="HeadingBase"/>
    <w:next w:val="Normal"/>
    <w:link w:val="Heading5Char"/>
    <w:qFormat/>
    <w:rsid w:val="009844D6"/>
    <w:pPr>
      <w:spacing w:before="80"/>
      <w:outlineLvl w:val="4"/>
    </w:pPr>
    <w:rPr>
      <w:color w:val="918585"/>
      <w:sz w:val="20"/>
    </w:rPr>
  </w:style>
  <w:style w:type="paragraph" w:styleId="Heading6">
    <w:name w:val="heading 6"/>
    <w:basedOn w:val="HeadingBase"/>
    <w:next w:val="Normal"/>
    <w:link w:val="Heading6Char"/>
    <w:qFormat/>
    <w:rsid w:val="009844D6"/>
    <w:pPr>
      <w:spacing w:before="60"/>
      <w:outlineLvl w:val="5"/>
    </w:pPr>
    <w:rPr>
      <w:color w:val="918585"/>
      <w:sz w:val="20"/>
    </w:rPr>
  </w:style>
  <w:style w:type="paragraph" w:styleId="Heading7">
    <w:name w:val="heading 7"/>
    <w:basedOn w:val="Normal"/>
    <w:next w:val="Normal"/>
    <w:link w:val="Heading7Char"/>
    <w:qFormat/>
    <w:rsid w:val="009844D6"/>
    <w:pPr>
      <w:ind w:left="720"/>
      <w:outlineLvl w:val="6"/>
    </w:pPr>
    <w:rPr>
      <w:i/>
    </w:rPr>
  </w:style>
  <w:style w:type="paragraph" w:styleId="Heading8">
    <w:name w:val="heading 8"/>
    <w:basedOn w:val="Normal"/>
    <w:next w:val="Normal"/>
    <w:link w:val="Heading8Char"/>
    <w:qFormat/>
    <w:rsid w:val="009844D6"/>
    <w:pPr>
      <w:ind w:left="720"/>
      <w:outlineLvl w:val="7"/>
    </w:pPr>
    <w:rPr>
      <w:i/>
    </w:rPr>
  </w:style>
  <w:style w:type="paragraph" w:styleId="Heading9">
    <w:name w:val="heading 9"/>
    <w:basedOn w:val="Normal"/>
    <w:next w:val="Normal"/>
    <w:link w:val="Heading9Char"/>
    <w:qFormat/>
    <w:rsid w:val="009844D6"/>
    <w:pPr>
      <w:ind w:left="720"/>
      <w:outlineLvl w:val="8"/>
    </w:pPr>
    <w:rPr>
      <w:i/>
    </w:rPr>
  </w:style>
  <w:style w:type="character" w:default="1" w:styleId="DefaultParagraphFont">
    <w:name w:val="Default Paragraph Font"/>
    <w:uiPriority w:val="1"/>
    <w:unhideWhenUsed/>
    <w:rsid w:val="00984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4D6"/>
  </w:style>
  <w:style w:type="character" w:customStyle="1" w:styleId="Heading1Char">
    <w:name w:val="Heading 1 Char"/>
    <w:basedOn w:val="DefaultParagraphFont"/>
    <w:link w:val="Heading1"/>
    <w:rsid w:val="009844D6"/>
    <w:rPr>
      <w:rFonts w:ascii="Times New Roman" w:eastAsia="Times New Roman" w:hAnsi="Times New Roman" w:cs="Times New Roman"/>
      <w:b/>
      <w:sz w:val="32"/>
      <w:szCs w:val="20"/>
      <w:lang w:eastAsia="en-US"/>
    </w:rPr>
  </w:style>
  <w:style w:type="paragraph" w:styleId="BodyText">
    <w:name w:val="Body Text"/>
    <w:basedOn w:val="Normal"/>
    <w:link w:val="BodyTextChar"/>
    <w:rsid w:val="009844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44D6"/>
    <w:rPr>
      <w:rFonts w:ascii="Times New Roman" w:eastAsia="Times New Roman" w:hAnsi="Times New Roman" w:cs="Times New Roman"/>
      <w:sz w:val="24"/>
      <w:lang w:eastAsia="en-US"/>
    </w:rPr>
  </w:style>
  <w:style w:type="paragraph" w:styleId="ListBullet">
    <w:name w:val="List Bullet"/>
    <w:basedOn w:val="List"/>
    <w:rsid w:val="009844D6"/>
    <w:pPr>
      <w:numPr>
        <w:numId w:val="13"/>
      </w:numPr>
      <w:tabs>
        <w:tab w:val="clear" w:pos="340"/>
      </w:tabs>
      <w:spacing w:before="40" w:after="40"/>
    </w:pPr>
  </w:style>
  <w:style w:type="character" w:customStyle="1" w:styleId="SpecialBold">
    <w:name w:val="Special Bold"/>
    <w:basedOn w:val="DefaultParagraphFont"/>
    <w:rsid w:val="009844D6"/>
    <w:rPr>
      <w:b/>
      <w:spacing w:val="0"/>
    </w:rPr>
  </w:style>
  <w:style w:type="paragraph" w:styleId="ListBullet2">
    <w:name w:val="List Bullet 2"/>
    <w:basedOn w:val="List2"/>
    <w:rsid w:val="009844D6"/>
    <w:pPr>
      <w:numPr>
        <w:numId w:val="14"/>
      </w:numPr>
      <w:tabs>
        <w:tab w:val="clear" w:pos="680"/>
      </w:tabs>
    </w:pPr>
  </w:style>
  <w:style w:type="character" w:styleId="Emphasis">
    <w:name w:val="Emphasis"/>
    <w:basedOn w:val="DefaultParagraphFont"/>
    <w:qFormat/>
    <w:rsid w:val="009844D6"/>
    <w:rPr>
      <w:i/>
    </w:rPr>
  </w:style>
  <w:style w:type="paragraph" w:customStyle="1" w:styleId="SuperHeading">
    <w:name w:val="SuperHeading"/>
    <w:basedOn w:val="Normal"/>
    <w:rsid w:val="009844D6"/>
    <w:pPr>
      <w:spacing w:before="240" w:after="120"/>
      <w:outlineLvl w:val="0"/>
    </w:pPr>
    <w:rPr>
      <w:rFonts w:ascii="Times New Roman" w:hAnsi="Times New Roman"/>
      <w:b/>
      <w:sz w:val="32"/>
    </w:rPr>
  </w:style>
  <w:style w:type="paragraph" w:customStyle="1" w:styleId="AllowPageBreak">
    <w:name w:val="AllowPageBreak"/>
    <w:rsid w:val="00984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4D6"/>
    <w:rPr>
      <w:rFonts w:ascii="Courier New" w:eastAsia="Times New Roman" w:hAnsi="Courier New" w:cs="Times New Roman"/>
      <w:i/>
      <w:szCs w:val="20"/>
      <w:lang w:eastAsia="en-US"/>
    </w:rPr>
  </w:style>
  <w:style w:type="paragraph" w:customStyle="1" w:styleId="HeadingBase">
    <w:name w:val="Heading Base"/>
    <w:rsid w:val="00984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4D6"/>
    <w:pPr>
      <w:tabs>
        <w:tab w:val="right" w:leader="dot" w:pos="9072"/>
      </w:tabs>
      <w:ind w:left="567"/>
    </w:pPr>
    <w:rPr>
      <w:szCs w:val="22"/>
    </w:rPr>
  </w:style>
  <w:style w:type="paragraph" w:customStyle="1" w:styleId="TOCBase">
    <w:name w:val="TOC Base"/>
    <w:rsid w:val="00984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4D6"/>
    <w:pPr>
      <w:tabs>
        <w:tab w:val="right" w:leader="dot" w:pos="9072"/>
      </w:tabs>
      <w:spacing w:before="40" w:after="40"/>
      <w:ind w:left="284"/>
    </w:pPr>
    <w:rPr>
      <w:rFonts w:ascii="Times New Roman" w:hAnsi="Times New Roman"/>
    </w:rPr>
  </w:style>
  <w:style w:type="paragraph" w:styleId="TOC1">
    <w:name w:val="toc 1"/>
    <w:basedOn w:val="TOCBase"/>
    <w:next w:val="Normal"/>
    <w:rsid w:val="00984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4D6"/>
    <w:rPr>
      <w:rFonts w:ascii="Times New Roman" w:eastAsia="Times New Roman" w:hAnsi="Times New Roman" w:cs="Times New Roman"/>
      <w:sz w:val="16"/>
      <w:lang w:eastAsia="en-US"/>
    </w:rPr>
  </w:style>
  <w:style w:type="paragraph" w:styleId="Title">
    <w:name w:val="Title"/>
    <w:basedOn w:val="HeadingBase"/>
    <w:link w:val="TitleChar"/>
    <w:qFormat/>
    <w:rsid w:val="009844D6"/>
    <w:pPr>
      <w:spacing w:before="5040"/>
      <w:jc w:val="center"/>
    </w:pPr>
    <w:rPr>
      <w:sz w:val="48"/>
      <w:szCs w:val="72"/>
      <w:lang w:val="en-US"/>
    </w:rPr>
  </w:style>
  <w:style w:type="character" w:customStyle="1" w:styleId="TitleChar">
    <w:name w:val="Title Char"/>
    <w:basedOn w:val="DefaultParagraphFont"/>
    <w:link w:val="Title"/>
    <w:rsid w:val="00984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4D6"/>
    <w:pPr>
      <w:tabs>
        <w:tab w:val="left" w:pos="3600"/>
        <w:tab w:val="left" w:pos="3958"/>
      </w:tabs>
    </w:pPr>
  </w:style>
  <w:style w:type="paragraph" w:styleId="List">
    <w:name w:val="List"/>
    <w:basedOn w:val="BodyText"/>
    <w:next w:val="BodyText"/>
    <w:rsid w:val="009844D6"/>
    <w:pPr>
      <w:tabs>
        <w:tab w:val="left" w:pos="340"/>
      </w:tabs>
      <w:spacing w:before="60" w:after="60"/>
      <w:ind w:left="340" w:hanging="340"/>
    </w:pPr>
  </w:style>
  <w:style w:type="paragraph" w:customStyle="1" w:styleId="Note">
    <w:name w:val="Note"/>
    <w:basedOn w:val="BodyText"/>
    <w:rsid w:val="00984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4D6"/>
    <w:pPr>
      <w:framePr w:wrap="auto" w:hAnchor="text" w:y="6049"/>
    </w:pPr>
    <w:rPr>
      <w:color w:val="000000"/>
      <w:sz w:val="40"/>
    </w:rPr>
  </w:style>
  <w:style w:type="paragraph" w:customStyle="1" w:styleId="TOCTitle">
    <w:name w:val="TOCTitle"/>
    <w:basedOn w:val="Heading1"/>
    <w:rsid w:val="009844D6"/>
    <w:pPr>
      <w:spacing w:after="240"/>
      <w:jc w:val="center"/>
      <w:outlineLvl w:val="9"/>
    </w:pPr>
    <w:rPr>
      <w:caps/>
    </w:rPr>
  </w:style>
  <w:style w:type="paragraph" w:customStyle="1" w:styleId="Version">
    <w:name w:val="Version"/>
    <w:rsid w:val="00984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4D6"/>
    <w:pPr>
      <w:keepNext w:val="0"/>
      <w:tabs>
        <w:tab w:val="right" w:pos="4176"/>
      </w:tabs>
      <w:ind w:left="198" w:hanging="198"/>
    </w:pPr>
    <w:rPr>
      <w:rFonts w:ascii="Garamond" w:hAnsi="Garamond"/>
    </w:rPr>
  </w:style>
  <w:style w:type="paragraph" w:styleId="IndexHeading">
    <w:name w:val="index heading"/>
    <w:basedOn w:val="Normal"/>
    <w:next w:val="Index1"/>
    <w:semiHidden/>
    <w:rsid w:val="009844D6"/>
    <w:pPr>
      <w:spacing w:before="120" w:after="120"/>
    </w:pPr>
    <w:rPr>
      <w:rFonts w:ascii="Arial" w:hAnsi="Arial"/>
      <w:b/>
      <w:color w:val="918585"/>
      <w:sz w:val="24"/>
    </w:rPr>
  </w:style>
  <w:style w:type="paragraph" w:styleId="Header">
    <w:name w:val="header"/>
    <w:basedOn w:val="Normal"/>
    <w:link w:val="HeaderChar"/>
    <w:rsid w:val="00984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4D6"/>
    <w:rPr>
      <w:rFonts w:ascii="Times New Roman" w:eastAsia="Times New Roman" w:hAnsi="Times New Roman" w:cs="Times New Roman"/>
      <w:sz w:val="16"/>
      <w:szCs w:val="20"/>
      <w:lang w:val="en-GB" w:eastAsia="en-US"/>
    </w:rPr>
  </w:style>
  <w:style w:type="paragraph" w:customStyle="1" w:styleId="Chapter">
    <w:name w:val="Chapter"/>
    <w:basedOn w:val="Normal"/>
    <w:rsid w:val="009844D6"/>
    <w:pPr>
      <w:spacing w:before="240"/>
    </w:pPr>
    <w:rPr>
      <w:rFonts w:ascii="Times New Roman" w:hAnsi="Times New Roman"/>
      <w:smallCaps/>
      <w:spacing w:val="80"/>
      <w:sz w:val="28"/>
    </w:rPr>
  </w:style>
  <w:style w:type="paragraph" w:customStyle="1" w:styleId="InChapter">
    <w:name w:val="InChapter"/>
    <w:basedOn w:val="Heading3"/>
    <w:rsid w:val="009844D6"/>
    <w:pPr>
      <w:spacing w:after="240"/>
      <w:outlineLvl w:val="9"/>
    </w:pPr>
    <w:rPr>
      <w:noProof/>
    </w:rPr>
  </w:style>
  <w:style w:type="paragraph" w:styleId="Index2">
    <w:name w:val="index 2"/>
    <w:basedOn w:val="Normal"/>
    <w:next w:val="Normal"/>
    <w:semiHidden/>
    <w:rsid w:val="009844D6"/>
    <w:pPr>
      <w:tabs>
        <w:tab w:val="right" w:pos="4176"/>
      </w:tabs>
      <w:ind w:left="568" w:hanging="284"/>
    </w:pPr>
    <w:rPr>
      <w:rFonts w:ascii="Garamond" w:hAnsi="Garamond"/>
    </w:rPr>
  </w:style>
  <w:style w:type="paragraph" w:customStyle="1" w:styleId="Byline">
    <w:name w:val="Byline"/>
    <w:rsid w:val="00984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4D6"/>
    <w:pPr>
      <w:tabs>
        <w:tab w:val="clear" w:pos="3600"/>
        <w:tab w:val="clear" w:pos="3958"/>
      </w:tabs>
      <w:jc w:val="right"/>
    </w:pPr>
  </w:style>
  <w:style w:type="paragraph" w:styleId="Caption">
    <w:name w:val="caption"/>
    <w:basedOn w:val="BodyText"/>
    <w:next w:val="Normal"/>
    <w:qFormat/>
    <w:rsid w:val="009844D6"/>
    <w:pPr>
      <w:framePr w:w="2268" w:hSpace="181" w:vSpace="181" w:wrap="around" w:vAnchor="text" w:hAnchor="page" w:x="1135" w:y="285" w:anchorLock="1"/>
    </w:pPr>
    <w:rPr>
      <w:i/>
    </w:rPr>
  </w:style>
  <w:style w:type="paragraph" w:customStyle="1" w:styleId="MiniTOCTitle">
    <w:name w:val="MiniTOCTitle"/>
    <w:basedOn w:val="Heading4"/>
    <w:rsid w:val="009844D6"/>
    <w:pPr>
      <w:spacing w:before="240"/>
      <w:outlineLvl w:val="9"/>
    </w:pPr>
    <w:rPr>
      <w:noProof/>
      <w:sz w:val="24"/>
    </w:rPr>
  </w:style>
  <w:style w:type="paragraph" w:customStyle="1" w:styleId="MiniTOCItem">
    <w:name w:val="MiniTOCItem"/>
    <w:basedOn w:val="ListBullet"/>
    <w:rsid w:val="009844D6"/>
    <w:pPr>
      <w:numPr>
        <w:numId w:val="0"/>
      </w:numPr>
      <w:tabs>
        <w:tab w:val="right" w:leader="dot" w:pos="6521"/>
      </w:tabs>
      <w:spacing w:before="0" w:after="0"/>
    </w:pPr>
  </w:style>
  <w:style w:type="paragraph" w:customStyle="1" w:styleId="TOFTitle">
    <w:name w:val="TOFTitle"/>
    <w:basedOn w:val="TOCTitle"/>
    <w:rsid w:val="009844D6"/>
  </w:style>
  <w:style w:type="paragraph" w:styleId="TableofFigures">
    <w:name w:val="table of figures"/>
    <w:basedOn w:val="Normal"/>
    <w:next w:val="Normal"/>
    <w:semiHidden/>
    <w:rsid w:val="009844D6"/>
    <w:pPr>
      <w:tabs>
        <w:tab w:val="right" w:leader="dot" w:pos="9072"/>
      </w:tabs>
      <w:ind w:left="970" w:hanging="403"/>
    </w:pPr>
    <w:rPr>
      <w:rFonts w:ascii="Times New Roman" w:hAnsi="Times New Roman"/>
      <w:b/>
    </w:rPr>
  </w:style>
  <w:style w:type="paragraph" w:styleId="ListNumber">
    <w:name w:val="List Number"/>
    <w:basedOn w:val="List"/>
    <w:rsid w:val="009844D6"/>
    <w:pPr>
      <w:numPr>
        <w:numId w:val="11"/>
      </w:numPr>
    </w:pPr>
  </w:style>
  <w:style w:type="character" w:customStyle="1" w:styleId="WingdingSymbols">
    <w:name w:val="Wingding Symbols"/>
    <w:rsid w:val="009844D6"/>
    <w:rPr>
      <w:rFonts w:ascii="Wingdings" w:hAnsi="Wingdings"/>
    </w:rPr>
  </w:style>
  <w:style w:type="paragraph" w:customStyle="1" w:styleId="TableHeading">
    <w:name w:val="Table Heading"/>
    <w:basedOn w:val="HeadingBase"/>
    <w:rsid w:val="009844D6"/>
    <w:pPr>
      <w:keepLines/>
      <w:pBdr>
        <w:bottom w:val="single" w:sz="6" w:space="1" w:color="918585"/>
      </w:pBdr>
      <w:spacing w:before="240"/>
    </w:pPr>
  </w:style>
  <w:style w:type="character" w:customStyle="1" w:styleId="HotSpot">
    <w:name w:val="HotSpot"/>
    <w:rsid w:val="009844D6"/>
    <w:rPr>
      <w:color w:val="0033CC"/>
      <w:u w:val="none"/>
    </w:rPr>
  </w:style>
  <w:style w:type="paragraph" w:customStyle="1" w:styleId="BodyTextRight">
    <w:name w:val="Body Text Right"/>
    <w:basedOn w:val="BodyText"/>
    <w:rsid w:val="009844D6"/>
    <w:pPr>
      <w:spacing w:before="0" w:after="0"/>
      <w:jc w:val="right"/>
    </w:pPr>
  </w:style>
  <w:style w:type="paragraph" w:styleId="Index3">
    <w:name w:val="index 3"/>
    <w:basedOn w:val="ListNumber2"/>
    <w:next w:val="Normal"/>
    <w:semiHidden/>
    <w:rsid w:val="009844D6"/>
    <w:pPr>
      <w:numPr>
        <w:numId w:val="0"/>
      </w:numPr>
      <w:tabs>
        <w:tab w:val="right" w:leader="dot" w:pos="4176"/>
      </w:tabs>
    </w:pPr>
  </w:style>
  <w:style w:type="paragraph" w:styleId="ListNumber2">
    <w:name w:val="List Number 2"/>
    <w:basedOn w:val="List2"/>
    <w:rsid w:val="009844D6"/>
    <w:pPr>
      <w:numPr>
        <w:numId w:val="10"/>
      </w:numPr>
      <w:tabs>
        <w:tab w:val="clear" w:pos="1060"/>
      </w:tabs>
    </w:pPr>
  </w:style>
  <w:style w:type="paragraph" w:customStyle="1" w:styleId="MarginNote">
    <w:name w:val="Margin Note"/>
    <w:basedOn w:val="BodyText"/>
    <w:rsid w:val="00984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4D6"/>
    <w:rPr>
      <w:sz w:val="32"/>
    </w:rPr>
  </w:style>
  <w:style w:type="paragraph" w:customStyle="1" w:styleId="HeadingProcedure">
    <w:name w:val="Heading Procedure"/>
    <w:basedOn w:val="HeadingBase"/>
    <w:next w:val="Normal"/>
    <w:rsid w:val="009844D6"/>
    <w:pPr>
      <w:tabs>
        <w:tab w:val="left" w:pos="0"/>
      </w:tabs>
      <w:spacing w:before="120" w:after="60"/>
    </w:pPr>
    <w:rPr>
      <w:i/>
      <w:color w:val="918585"/>
      <w:sz w:val="22"/>
    </w:rPr>
  </w:style>
  <w:style w:type="paragraph" w:customStyle="1" w:styleId="TableBodyText">
    <w:name w:val="Table Body Text"/>
    <w:basedOn w:val="BodyText"/>
    <w:rsid w:val="009844D6"/>
    <w:pPr>
      <w:spacing w:before="60" w:after="60"/>
    </w:pPr>
  </w:style>
  <w:style w:type="paragraph" w:styleId="ListContinue">
    <w:name w:val="List Continue"/>
    <w:basedOn w:val="List"/>
    <w:rsid w:val="009844D6"/>
    <w:pPr>
      <w:ind w:firstLine="0"/>
    </w:pPr>
  </w:style>
  <w:style w:type="paragraph" w:customStyle="1" w:styleId="ListNote">
    <w:name w:val="List Note"/>
    <w:basedOn w:val="List"/>
    <w:rsid w:val="009844D6"/>
    <w:pPr>
      <w:pBdr>
        <w:top w:val="single" w:sz="6" w:space="2" w:color="918585"/>
        <w:bottom w:val="single" w:sz="6" w:space="2" w:color="918585"/>
      </w:pBdr>
      <w:tabs>
        <w:tab w:val="left" w:pos="1021"/>
      </w:tabs>
      <w:ind w:firstLine="0"/>
    </w:pPr>
  </w:style>
  <w:style w:type="paragraph" w:customStyle="1" w:styleId="Warning">
    <w:name w:val="Warning"/>
    <w:basedOn w:val="BodyText"/>
    <w:rsid w:val="009844D6"/>
    <w:pPr>
      <w:shd w:val="clear" w:color="auto" w:fill="D9D9D9"/>
      <w:tabs>
        <w:tab w:val="left" w:pos="992"/>
      </w:tabs>
      <w:ind w:left="119" w:right="119"/>
    </w:pPr>
    <w:rPr>
      <w:sz w:val="20"/>
    </w:rPr>
  </w:style>
  <w:style w:type="paragraph" w:customStyle="1" w:styleId="MarginIcons">
    <w:name w:val="Margin Icons"/>
    <w:basedOn w:val="BodyText"/>
    <w:rsid w:val="00984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4D6"/>
    <w:rPr>
      <w:rFonts w:ascii="Courier New" w:hAnsi="Courier New"/>
    </w:rPr>
  </w:style>
  <w:style w:type="paragraph" w:customStyle="1" w:styleId="NoteBullet">
    <w:name w:val="Note Bullet"/>
    <w:basedOn w:val="Note"/>
    <w:rsid w:val="009844D6"/>
    <w:pPr>
      <w:tabs>
        <w:tab w:val="clear" w:pos="680"/>
      </w:tabs>
      <w:spacing w:before="60" w:after="60"/>
    </w:pPr>
  </w:style>
  <w:style w:type="paragraph" w:customStyle="1" w:styleId="SubHeading2">
    <w:name w:val="SubHeading2"/>
    <w:basedOn w:val="HeadingBase"/>
    <w:rsid w:val="009844D6"/>
    <w:pPr>
      <w:spacing w:before="240" w:after="60"/>
    </w:pPr>
    <w:rPr>
      <w:sz w:val="20"/>
    </w:rPr>
  </w:style>
  <w:style w:type="paragraph" w:customStyle="1" w:styleId="SubHeading1">
    <w:name w:val="SubHeading1"/>
    <w:basedOn w:val="HeadingBase"/>
    <w:rsid w:val="009844D6"/>
    <w:pPr>
      <w:spacing w:before="240" w:after="60"/>
    </w:pPr>
    <w:rPr>
      <w:color w:val="918585"/>
      <w:sz w:val="22"/>
    </w:rPr>
  </w:style>
  <w:style w:type="paragraph" w:customStyle="1" w:styleId="SideHeading">
    <w:name w:val="Side Heading"/>
    <w:basedOn w:val="HeadingBase"/>
    <w:rsid w:val="00984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4D6"/>
    <w:pPr>
      <w:numPr>
        <w:numId w:val="12"/>
      </w:numPr>
    </w:pPr>
  </w:style>
  <w:style w:type="paragraph" w:styleId="PlainText">
    <w:name w:val="Plain Text"/>
    <w:basedOn w:val="Normal"/>
    <w:link w:val="PlainTextChar"/>
    <w:rsid w:val="009844D6"/>
    <w:rPr>
      <w:sz w:val="20"/>
    </w:rPr>
  </w:style>
  <w:style w:type="character" w:customStyle="1" w:styleId="PlainTextChar">
    <w:name w:val="Plain Text Char"/>
    <w:basedOn w:val="DefaultParagraphFont"/>
    <w:link w:val="PlainText"/>
    <w:rsid w:val="009844D6"/>
    <w:rPr>
      <w:rFonts w:ascii="Courier New" w:eastAsia="Times New Roman" w:hAnsi="Courier New" w:cs="Times New Roman"/>
      <w:sz w:val="20"/>
      <w:szCs w:val="20"/>
      <w:lang w:eastAsia="en-US"/>
    </w:rPr>
  </w:style>
  <w:style w:type="character" w:customStyle="1" w:styleId="MenuOption">
    <w:name w:val="Menu Option"/>
    <w:basedOn w:val="DefaultParagraphFont"/>
    <w:rsid w:val="009844D6"/>
    <w:rPr>
      <w:b/>
      <w:smallCaps/>
    </w:rPr>
  </w:style>
  <w:style w:type="paragraph" w:customStyle="1" w:styleId="TableListNumber">
    <w:name w:val="Table List Number"/>
    <w:basedOn w:val="ListNumber"/>
    <w:rsid w:val="009844D6"/>
    <w:pPr>
      <w:numPr>
        <w:numId w:val="0"/>
      </w:numPr>
    </w:pPr>
  </w:style>
  <w:style w:type="paragraph" w:styleId="TOC4">
    <w:name w:val="toc 4"/>
    <w:basedOn w:val="TOCBase"/>
    <w:next w:val="Normal"/>
    <w:semiHidden/>
    <w:rsid w:val="009844D6"/>
    <w:pPr>
      <w:tabs>
        <w:tab w:val="right" w:leader="dot" w:pos="9071"/>
      </w:tabs>
      <w:ind w:left="1701"/>
    </w:pPr>
  </w:style>
  <w:style w:type="paragraph" w:customStyle="1" w:styleId="ListAlpha">
    <w:name w:val="List Alpha"/>
    <w:basedOn w:val="List"/>
    <w:rsid w:val="009844D6"/>
    <w:pPr>
      <w:numPr>
        <w:numId w:val="9"/>
      </w:numPr>
    </w:pPr>
  </w:style>
  <w:style w:type="paragraph" w:customStyle="1" w:styleId="ListAlpha2">
    <w:name w:val="List Alpha 2"/>
    <w:basedOn w:val="List2"/>
    <w:rsid w:val="009844D6"/>
    <w:pPr>
      <w:numPr>
        <w:numId w:val="8"/>
      </w:numPr>
    </w:pPr>
  </w:style>
  <w:style w:type="paragraph" w:styleId="List2">
    <w:name w:val="List 2"/>
    <w:basedOn w:val="BodyText"/>
    <w:rsid w:val="009844D6"/>
    <w:pPr>
      <w:tabs>
        <w:tab w:val="left" w:pos="680"/>
      </w:tabs>
      <w:spacing w:before="60" w:after="60"/>
      <w:ind w:left="680" w:hanging="340"/>
    </w:pPr>
  </w:style>
  <w:style w:type="paragraph" w:styleId="List3">
    <w:name w:val="List 3"/>
    <w:basedOn w:val="BodyText"/>
    <w:rsid w:val="009844D6"/>
    <w:pPr>
      <w:tabs>
        <w:tab w:val="left" w:pos="1021"/>
      </w:tabs>
      <w:spacing w:before="60" w:after="60"/>
      <w:ind w:left="1020" w:hanging="340"/>
    </w:pPr>
  </w:style>
  <w:style w:type="paragraph" w:styleId="List4">
    <w:name w:val="List 4"/>
    <w:basedOn w:val="BodyText"/>
    <w:rsid w:val="009844D6"/>
    <w:pPr>
      <w:tabs>
        <w:tab w:val="left" w:pos="1361"/>
      </w:tabs>
      <w:spacing w:before="60" w:after="60"/>
      <w:ind w:left="1361" w:hanging="340"/>
    </w:pPr>
  </w:style>
  <w:style w:type="paragraph" w:styleId="List5">
    <w:name w:val="List 5"/>
    <w:basedOn w:val="BodyText"/>
    <w:rsid w:val="009844D6"/>
    <w:pPr>
      <w:tabs>
        <w:tab w:val="left" w:pos="1701"/>
      </w:tabs>
      <w:spacing w:before="60" w:after="60"/>
      <w:ind w:left="1701" w:hanging="340"/>
    </w:pPr>
  </w:style>
  <w:style w:type="paragraph" w:styleId="ListBullet3">
    <w:name w:val="List Bullet 3"/>
    <w:basedOn w:val="List3"/>
    <w:rsid w:val="009844D6"/>
    <w:pPr>
      <w:numPr>
        <w:numId w:val="15"/>
      </w:numPr>
      <w:tabs>
        <w:tab w:val="clear" w:pos="1021"/>
      </w:tabs>
      <w:ind w:left="1037" w:hanging="357"/>
    </w:pPr>
  </w:style>
  <w:style w:type="paragraph" w:styleId="ListBullet4">
    <w:name w:val="List Bullet 4"/>
    <w:basedOn w:val="List4"/>
    <w:rsid w:val="009844D6"/>
    <w:pPr>
      <w:numPr>
        <w:numId w:val="3"/>
      </w:numPr>
      <w:tabs>
        <w:tab w:val="clear" w:pos="1361"/>
      </w:tabs>
    </w:pPr>
  </w:style>
  <w:style w:type="paragraph" w:styleId="ListBullet5">
    <w:name w:val="List Bullet 5"/>
    <w:basedOn w:val="List5"/>
    <w:rsid w:val="009844D6"/>
    <w:pPr>
      <w:numPr>
        <w:numId w:val="4"/>
      </w:numPr>
    </w:pPr>
  </w:style>
  <w:style w:type="paragraph" w:styleId="ListContinue2">
    <w:name w:val="List Continue 2"/>
    <w:basedOn w:val="List2"/>
    <w:rsid w:val="009844D6"/>
    <w:pPr>
      <w:ind w:firstLine="0"/>
    </w:pPr>
  </w:style>
  <w:style w:type="paragraph" w:styleId="ListContinue3">
    <w:name w:val="List Continue 3"/>
    <w:basedOn w:val="List3"/>
    <w:rsid w:val="009844D6"/>
    <w:pPr>
      <w:ind w:left="1021" w:firstLine="0"/>
    </w:pPr>
  </w:style>
  <w:style w:type="paragraph" w:styleId="ListContinue4">
    <w:name w:val="List Continue 4"/>
    <w:basedOn w:val="List4"/>
    <w:rsid w:val="009844D6"/>
    <w:pPr>
      <w:ind w:firstLine="0"/>
    </w:pPr>
  </w:style>
  <w:style w:type="paragraph" w:styleId="ListContinue5">
    <w:name w:val="List Continue 5"/>
    <w:basedOn w:val="List5"/>
    <w:rsid w:val="009844D6"/>
    <w:pPr>
      <w:ind w:firstLine="0"/>
    </w:pPr>
  </w:style>
  <w:style w:type="paragraph" w:styleId="ListNumber3">
    <w:name w:val="List Number 3"/>
    <w:basedOn w:val="List3"/>
    <w:rsid w:val="009844D6"/>
    <w:pPr>
      <w:numPr>
        <w:numId w:val="5"/>
      </w:numPr>
    </w:pPr>
  </w:style>
  <w:style w:type="paragraph" w:styleId="ListNumber4">
    <w:name w:val="List Number 4"/>
    <w:basedOn w:val="List4"/>
    <w:rsid w:val="009844D6"/>
    <w:pPr>
      <w:numPr>
        <w:numId w:val="6"/>
      </w:numPr>
    </w:pPr>
  </w:style>
  <w:style w:type="paragraph" w:styleId="ListNumber5">
    <w:name w:val="List Number 5"/>
    <w:basedOn w:val="List5"/>
    <w:rsid w:val="009844D6"/>
    <w:pPr>
      <w:numPr>
        <w:numId w:val="7"/>
      </w:numPr>
    </w:pPr>
  </w:style>
  <w:style w:type="paragraph" w:styleId="BlockText">
    <w:name w:val="Block Text"/>
    <w:basedOn w:val="Normal"/>
    <w:rsid w:val="009844D6"/>
    <w:pPr>
      <w:spacing w:after="120"/>
      <w:ind w:left="1440" w:right="1440"/>
    </w:pPr>
  </w:style>
  <w:style w:type="character" w:customStyle="1" w:styleId="Subscript">
    <w:name w:val="Subscript"/>
    <w:basedOn w:val="DefaultParagraphFont"/>
    <w:rsid w:val="009844D6"/>
    <w:rPr>
      <w:sz w:val="16"/>
      <w:vertAlign w:val="subscript"/>
    </w:rPr>
  </w:style>
  <w:style w:type="character" w:customStyle="1" w:styleId="Superscript">
    <w:name w:val="Superscript"/>
    <w:basedOn w:val="DefaultParagraphFont"/>
    <w:rsid w:val="009844D6"/>
    <w:rPr>
      <w:sz w:val="16"/>
      <w:vertAlign w:val="superscript"/>
    </w:rPr>
  </w:style>
  <w:style w:type="character" w:customStyle="1" w:styleId="Symbols">
    <w:name w:val="Symbols"/>
    <w:basedOn w:val="DefaultParagraphFont"/>
    <w:rsid w:val="009844D6"/>
    <w:rPr>
      <w:rFonts w:ascii="Symbol" w:hAnsi="Symbol"/>
    </w:rPr>
  </w:style>
  <w:style w:type="character" w:customStyle="1" w:styleId="MenuOptions">
    <w:name w:val="Menu Options"/>
    <w:basedOn w:val="DefaultParagraphFont"/>
    <w:rsid w:val="009844D6"/>
    <w:rPr>
      <w:rFonts w:ascii="Arial Narrow" w:hAnsi="Arial Narrow"/>
      <w:smallCaps/>
    </w:rPr>
  </w:style>
  <w:style w:type="character" w:customStyle="1" w:styleId="Buttons">
    <w:name w:val="Buttons"/>
    <w:basedOn w:val="DefaultParagraphFont"/>
    <w:rsid w:val="009844D6"/>
    <w:rPr>
      <w:b/>
    </w:rPr>
  </w:style>
  <w:style w:type="character" w:customStyle="1" w:styleId="Underlined">
    <w:name w:val="Underlined"/>
    <w:basedOn w:val="DefaultParagraphFont"/>
    <w:rsid w:val="009844D6"/>
    <w:rPr>
      <w:u w:val="single"/>
    </w:rPr>
  </w:style>
  <w:style w:type="paragraph" w:customStyle="1" w:styleId="TableBodyTextRight">
    <w:name w:val="Table Body Text Right"/>
    <w:basedOn w:val="TableBodyText"/>
    <w:rsid w:val="009844D6"/>
    <w:pPr>
      <w:widowControl w:val="0"/>
      <w:autoSpaceDE w:val="0"/>
      <w:autoSpaceDN w:val="0"/>
      <w:adjustRightInd w:val="0"/>
      <w:jc w:val="right"/>
    </w:pPr>
    <w:rPr>
      <w:rFonts w:cs="Arial"/>
      <w:szCs w:val="18"/>
    </w:rPr>
  </w:style>
  <w:style w:type="paragraph" w:customStyle="1" w:styleId="CopyrightText">
    <w:name w:val="Copyright Text"/>
    <w:basedOn w:val="BodyText"/>
    <w:rsid w:val="009844D6"/>
    <w:rPr>
      <w:sz w:val="18"/>
    </w:rPr>
  </w:style>
  <w:style w:type="paragraph" w:customStyle="1" w:styleId="BodySmallRight">
    <w:name w:val="Body Small Right"/>
    <w:basedOn w:val="BodyTextRight"/>
    <w:rsid w:val="009844D6"/>
    <w:rPr>
      <w:sz w:val="18"/>
      <w:szCs w:val="18"/>
    </w:rPr>
  </w:style>
  <w:style w:type="paragraph" w:customStyle="1" w:styleId="MarginEdition">
    <w:name w:val="Margin Edition"/>
    <w:basedOn w:val="MarginNote"/>
    <w:rsid w:val="009844D6"/>
    <w:pPr>
      <w:spacing w:before="0" w:after="0"/>
    </w:pPr>
    <w:rPr>
      <w:rFonts w:ascii="Times New Roman" w:hAnsi="Times New Roman"/>
      <w:color w:val="999999"/>
    </w:rPr>
  </w:style>
  <w:style w:type="paragraph" w:customStyle="1" w:styleId="Spacer">
    <w:name w:val="Spacer"/>
    <w:basedOn w:val="Normal"/>
    <w:rsid w:val="009844D6"/>
    <w:rPr>
      <w:sz w:val="2"/>
      <w:szCs w:val="2"/>
    </w:rPr>
  </w:style>
  <w:style w:type="character" w:customStyle="1" w:styleId="Small">
    <w:name w:val="Small"/>
    <w:basedOn w:val="DefaultParagraphFont"/>
    <w:rsid w:val="009844D6"/>
    <w:rPr>
      <w:sz w:val="16"/>
    </w:rPr>
  </w:style>
  <w:style w:type="paragraph" w:customStyle="1" w:styleId="WideTable">
    <w:name w:val="Wide Table"/>
    <w:basedOn w:val="Normal"/>
    <w:rsid w:val="009844D6"/>
    <w:pPr>
      <w:ind w:left="-1418"/>
    </w:pPr>
    <w:rPr>
      <w:sz w:val="2"/>
      <w:szCs w:val="2"/>
    </w:rPr>
  </w:style>
  <w:style w:type="character" w:styleId="PageNumber">
    <w:name w:val="page number"/>
    <w:basedOn w:val="DefaultParagraphFont"/>
    <w:rsid w:val="009844D6"/>
  </w:style>
  <w:style w:type="paragraph" w:styleId="Quote">
    <w:name w:val="Quote"/>
    <w:basedOn w:val="Heading1"/>
    <w:link w:val="QuoteChar"/>
    <w:qFormat/>
    <w:rsid w:val="009844D6"/>
    <w:rPr>
      <w:b w:val="0"/>
      <w:sz w:val="72"/>
      <w:szCs w:val="72"/>
      <w:lang w:val="en-NZ"/>
    </w:rPr>
  </w:style>
  <w:style w:type="character" w:customStyle="1" w:styleId="QuoteChar">
    <w:name w:val="Quote Char"/>
    <w:basedOn w:val="DefaultParagraphFont"/>
    <w:link w:val="Quote"/>
    <w:rsid w:val="00984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4D6"/>
    <w:pPr>
      <w:pageBreakBefore/>
    </w:pPr>
  </w:style>
  <w:style w:type="paragraph" w:customStyle="1" w:styleId="Border">
    <w:name w:val="Border"/>
    <w:basedOn w:val="Normal"/>
    <w:qFormat/>
    <w:rsid w:val="00984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4D6"/>
    <w:rPr>
      <w:b/>
      <w:bCs/>
      <w:i/>
      <w:iCs/>
      <w:color w:val="auto"/>
    </w:rPr>
  </w:style>
  <w:style w:type="paragraph" w:styleId="IntenseQuote">
    <w:name w:val="Intense Quote"/>
    <w:basedOn w:val="Normal"/>
    <w:next w:val="Normal"/>
    <w:link w:val="IntenseQuoteChar"/>
    <w:uiPriority w:val="30"/>
    <w:qFormat/>
    <w:rsid w:val="00984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4D6"/>
    <w:rPr>
      <w:smallCaps/>
      <w:color w:val="auto"/>
      <w:u w:val="single"/>
    </w:rPr>
  </w:style>
  <w:style w:type="character" w:styleId="IntenseReference">
    <w:name w:val="Intense Reference"/>
    <w:basedOn w:val="DefaultParagraphFont"/>
    <w:uiPriority w:val="32"/>
    <w:qFormat/>
    <w:rsid w:val="009844D6"/>
    <w:rPr>
      <w:b/>
      <w:bCs/>
      <w:smallCaps/>
      <w:color w:val="auto"/>
      <w:spacing w:val="5"/>
      <w:u w:val="single"/>
    </w:rPr>
  </w:style>
  <w:style w:type="paragraph" w:customStyle="1" w:styleId="2ColumnHeading">
    <w:name w:val="2Column Heading"/>
    <w:basedOn w:val="BodyText"/>
    <w:qFormat/>
    <w:rsid w:val="009844D6"/>
    <w:pPr>
      <w:spacing w:after="60"/>
      <w:ind w:left="-2268"/>
    </w:pPr>
    <w:rPr>
      <w:b/>
    </w:rPr>
  </w:style>
  <w:style w:type="paragraph" w:customStyle="1" w:styleId="Heading1TOC">
    <w:name w:val="Heading1 TOC"/>
    <w:basedOn w:val="Normal"/>
    <w:qFormat/>
    <w:rsid w:val="009844D6"/>
    <w:pPr>
      <w:spacing w:before="240" w:after="120"/>
    </w:pPr>
    <w:rPr>
      <w:rFonts w:ascii="Times New Roman" w:hAnsi="Times New Roman"/>
      <w:b/>
      <w:sz w:val="32"/>
    </w:rPr>
  </w:style>
  <w:style w:type="paragraph" w:customStyle="1" w:styleId="Heading2TOC">
    <w:name w:val="Heading2 TOC"/>
    <w:basedOn w:val="Normal"/>
    <w:qFormat/>
    <w:rsid w:val="009844D6"/>
    <w:pPr>
      <w:spacing w:before="240" w:after="60"/>
    </w:pPr>
    <w:rPr>
      <w:rFonts w:ascii="Times New Roman" w:hAnsi="Times New Roman"/>
      <w:b/>
      <w:sz w:val="28"/>
    </w:rPr>
  </w:style>
  <w:style w:type="character" w:customStyle="1" w:styleId="Underline">
    <w:name w:val="Underline"/>
    <w:basedOn w:val="DefaultParagraphFont"/>
    <w:qFormat/>
    <w:rsid w:val="009844D6"/>
    <w:rPr>
      <w:u w:val="single"/>
    </w:rPr>
  </w:style>
  <w:style w:type="character" w:customStyle="1" w:styleId="BoldandItalics">
    <w:name w:val="Bold and Italics"/>
    <w:qFormat/>
    <w:rsid w:val="009844D6"/>
    <w:rPr>
      <w:b/>
      <w:i/>
      <w:u w:val="none"/>
    </w:rPr>
  </w:style>
  <w:style w:type="paragraph" w:styleId="BalloonText">
    <w:name w:val="Balloon Text"/>
    <w:basedOn w:val="Normal"/>
    <w:link w:val="BalloonTextChar"/>
    <w:rsid w:val="009844D6"/>
    <w:rPr>
      <w:rFonts w:ascii="Tahoma" w:hAnsi="Tahoma" w:cs="Tahoma"/>
      <w:sz w:val="16"/>
      <w:szCs w:val="16"/>
    </w:rPr>
  </w:style>
  <w:style w:type="character" w:customStyle="1" w:styleId="BalloonTextChar">
    <w:name w:val="Balloon Text Char"/>
    <w:basedOn w:val="DefaultParagraphFont"/>
    <w:link w:val="BalloonText"/>
    <w:rsid w:val="00984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4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4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4D6"/>
    <w:rPr>
      <w:b/>
      <w:color w:val="660033"/>
      <w:spacing w:val="0"/>
    </w:rPr>
  </w:style>
  <w:style w:type="paragraph" w:customStyle="1" w:styleId="Nameditemlist">
    <w:name w:val="Named item list"/>
    <w:basedOn w:val="BodyText"/>
    <w:qFormat/>
    <w:rsid w:val="009844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6330</Characters>
  <Application>Microsoft Office Word</Application>
  <DocSecurity>0</DocSecurity>
  <Lines>257</Lines>
  <Paragraphs>144</Paragraphs>
  <ScaleCrop>false</ScaleCrop>
  <Company>Author-it Software Corporation Ltd.</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MSFSL5001 Assess conservation requirements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2016-12-09T03:38:00Z</dcterms:created>
  <dcterms:modified xsi:type="dcterms:W3CDTF">2016-12-09T03:38:00Z</dcterms:modified>
</cp:coreProperties>
</file>