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C50" w:rsidP="005A4C50">
      <w:pPr>
        <w:pStyle w:val="Title"/>
      </w:pPr>
      <w:r>
        <w:fldChar w:fldCharType="begin"/>
      </w:r>
      <w:r>
        <w:instrText xml:space="preserve"> TITLE   \* MERGEFORMAT </w:instrText>
      </w:r>
      <w:r>
        <w:fldChar w:fldCharType="separate"/>
      </w:r>
      <w:r>
        <w:t>MSFSL5001 Assess conservation requirements</w:t>
      </w:r>
      <w:r>
        <w:fldChar w:fldCharType="end"/>
      </w:r>
    </w:p>
    <w:p w:rsidR="005A4C50" w:rsidP="005A4C50">
      <w:pPr>
        <w:pStyle w:val="Version"/>
        <w:sectPr w:rsidSect="003652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225" w:rsidP="00365225">
      <w:pPr>
        <w:pStyle w:val="SuperHeading"/>
      </w:pPr>
      <w:r w:rsidRPr="00365225">
        <w:t>MSFSL5001 Assess conservation requirements</w:t>
      </w:r>
    </w:p>
    <w:p w:rsidR="00000000" w:rsidRPr="00365225" w:rsidP="00365225">
      <w:pPr>
        <w:pStyle w:val="Heading1"/>
      </w:pPr>
      <w:bookmarkStart w:id="1" w:name="O_621524"/>
      <w:bookmarkEnd w:id="1"/>
      <w:r w:rsidRPr="00365225">
        <w:t>Modification History</w:t>
      </w:r>
    </w:p>
    <w:p w:rsidR="00000000" w:rsidRPr="00365225" w:rsidP="005A4C50">
      <w:pPr>
        <w:pStyle w:val="BodyText"/>
      </w:pPr>
      <w:r w:rsidRPr="00365225">
        <w:t>Release 1 - New unit of competency</w:t>
      </w:r>
    </w:p>
    <w:p w:rsidR="00000000" w:rsidRPr="00365225" w:rsidP="00365225">
      <w:pPr>
        <w:pStyle w:val="Heading1"/>
      </w:pPr>
      <w:bookmarkStart w:id="2" w:name="O_621532"/>
      <w:bookmarkEnd w:id="2"/>
      <w:r w:rsidRPr="00365225">
        <w:t>Application</w:t>
      </w:r>
    </w:p>
    <w:p w:rsidR="00000000" w:rsidRPr="00365225" w:rsidP="005A4C50">
      <w:pPr>
        <w:pStyle w:val="BodyText"/>
      </w:pPr>
      <w:r w:rsidRPr="00365225">
        <w:t>This unit of competency covers assessing leadlight and stained glass panels in order to identify and document their conservation requirements.</w:t>
      </w:r>
    </w:p>
    <w:p w:rsidR="00000000" w:rsidRPr="00365225" w:rsidP="005A4C50">
      <w:pPr>
        <w:pStyle w:val="BodyText"/>
      </w:pPr>
      <w:r w:rsidRPr="00365225">
        <w:t>Licensing, legislative or c</w:t>
      </w:r>
      <w:r w:rsidRPr="00365225">
        <w:t>ertification requirements may apply to this unit and relevant state/territory and local government agencies should be consulted to determine any necessary certification or licensing for undertaking glass and glazing work. Access to construction sites requi</w:t>
      </w:r>
      <w:r w:rsidRPr="00365225">
        <w:t xml:space="preserve">res certification of general induction training specified by the </w:t>
      </w:r>
      <w:r w:rsidRPr="00365225">
        <w:rPr>
          <w:rStyle w:val="Emphasis"/>
        </w:rPr>
        <w:t>National Code of Practice for Induction for Construction Work (ASCC 2007)</w:t>
      </w:r>
      <w:r w:rsidRPr="00365225">
        <w:t>.</w:t>
      </w:r>
    </w:p>
    <w:p w:rsidR="00000000" w:rsidRPr="00365225" w:rsidP="00365225">
      <w:pPr>
        <w:pStyle w:val="Heading1"/>
      </w:pPr>
      <w:bookmarkStart w:id="3" w:name="O_621531"/>
      <w:bookmarkEnd w:id="3"/>
      <w:r w:rsidRPr="00365225">
        <w:t>Pre-requisite Unit</w:t>
      </w:r>
    </w:p>
    <w:p w:rsidR="00000000" w:rsidRPr="00365225" w:rsidP="00365225">
      <w:pPr>
        <w:pStyle w:val="Heading1"/>
      </w:pPr>
      <w:bookmarkStart w:id="4" w:name="O_621530"/>
      <w:bookmarkEnd w:id="4"/>
      <w:r w:rsidRPr="00365225">
        <w:t>Competency Field</w:t>
      </w:r>
    </w:p>
    <w:p w:rsidR="00000000" w:rsidRPr="00365225" w:rsidP="00365225">
      <w:pPr>
        <w:pStyle w:val="Heading1"/>
      </w:pPr>
      <w:bookmarkStart w:id="5" w:name="O_621529"/>
      <w:bookmarkEnd w:id="5"/>
      <w:r w:rsidRPr="00365225">
        <w:t>Unit Sector</w:t>
      </w:r>
    </w:p>
    <w:p w:rsidR="00000000" w:rsidRPr="00365225" w:rsidP="005A4C50">
      <w:pPr>
        <w:pStyle w:val="BodyText"/>
      </w:pPr>
      <w:r w:rsidRPr="00365225">
        <w:t>Leadlight and Stain</w:t>
      </w:r>
      <w:r w:rsidRPr="00365225">
        <w:t>ed Glass</w:t>
      </w:r>
    </w:p>
    <w:p w:rsidR="00000000" w:rsidRPr="00365225" w:rsidP="00365225">
      <w:pPr>
        <w:pStyle w:val="Heading1"/>
      </w:pPr>
      <w:bookmarkStart w:id="6" w:name="O_621528"/>
      <w:bookmarkEnd w:id="6"/>
      <w:r w:rsidRPr="00365225">
        <w:t>Elements and Performance Criteria</w:t>
      </w:r>
    </w:p>
    <w:tbl>
      <w:tblPr>
        <w:tblW w:w="9286" w:type="dxa"/>
        <w:tblLayout w:type="fixed"/>
        <w:tblCellMar>
          <w:left w:w="62" w:type="dxa"/>
          <w:right w:w="62" w:type="dxa"/>
        </w:tblCellMar>
        <w:tblLook w:val="0000"/>
      </w:tblPr>
      <w:tblGrid>
        <w:gridCol w:w="630"/>
        <w:gridCol w:w="2129"/>
        <w:gridCol w:w="661"/>
        <w:gridCol w:w="5866"/>
      </w:tblGrid>
      <w:tr w:rsidTr="0036522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Performance criteria describe the performance needed to demonstrate achievement of the element.</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1</w:t>
            </w:r>
          </w:p>
        </w:tc>
        <w:tc>
          <w:tcPr>
            <w:tcW w:w="2129"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Identify conservation assessment requirements</w:t>
            </w: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1.1</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Applicable work health and safety (WHS), legislative and organisational requirements relevant to leadlight and stained glass operations are verified and complied with</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1.2</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Purpose of the assessment is established, confirmed and clarified with appropriate</w:t>
            </w:r>
            <w:r w:rsidRPr="00365225">
              <w:t xml:space="preserve"> personnel </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1.3</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 xml:space="preserve">Assessment outcomes are identified and confirmed </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2</w:t>
            </w:r>
          </w:p>
        </w:tc>
        <w:tc>
          <w:tcPr>
            <w:tcW w:w="2129"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Plan assessment processes</w:t>
            </w: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2.1</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Location of the leadlight and stained glass panels to be assessed is identified and observed</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2.2</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 xml:space="preserve">Assessment sequence is identified and a work plan is developed </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2.3</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Tools and equipment required for the assessment are identified</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2.4</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Approval of assessment plan is obtained as required by agreed procedures</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3</w:t>
            </w:r>
          </w:p>
        </w:tc>
        <w:tc>
          <w:tcPr>
            <w:tcW w:w="2129"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Prepare for the assessment</w:t>
            </w: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3.1</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Tools and equipment are assembled, positioned and checked prior to use to ensure they are appropriate for the assessment, serviceable and in a safe condition</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3.2</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Plans and other documents are assembled and positioned to allow for confirmation of the pan</w:t>
            </w:r>
            <w:r w:rsidRPr="00365225">
              <w:t>el structure and placement</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3.3</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Photographs are taken of the panel for documentation of condition and for later reference</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4</w:t>
            </w:r>
          </w:p>
        </w:tc>
        <w:tc>
          <w:tcPr>
            <w:tcW w:w="2129"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Assess the panel</w:t>
            </w: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4.1</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Glass faults are identified and noted</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4.2</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Structural faults or problems are identified and noted</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4.3</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 xml:space="preserve">Environmental effects are identified and noted </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4.4</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 xml:space="preserve">Other problems are identified and noted </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5</w:t>
            </w:r>
          </w:p>
        </w:tc>
        <w:tc>
          <w:tcPr>
            <w:tcW w:w="2129"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Finalise and report on the assessment</w:t>
            </w: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5.1</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 xml:space="preserve">Tools and equipment are removed, cleaned and stored appropriately </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5.2</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Assessment area is cleaned and rubbish di</w:t>
            </w:r>
            <w:r w:rsidRPr="00365225">
              <w:t>sposed of, as appropriate</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5.3</w:t>
            </w:r>
          </w:p>
        </w:tc>
        <w:tc>
          <w:tcPr>
            <w:tcW w:w="5866"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Conservation requirements resulting from the assessment are determined and confirmed with appropriate personnel</w:t>
            </w:r>
          </w:p>
        </w:tc>
      </w:tr>
      <w:tr w:rsidTr="00365225">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5.4</w:t>
            </w:r>
          </w:p>
        </w:tc>
        <w:tc>
          <w:tcPr>
            <w:tcW w:w="5866" w:type="dxa"/>
            <w:tcBorders>
              <w:top w:val="nil"/>
              <w:left w:val="nil"/>
              <w:bottom w:val="nil"/>
              <w:right w:val="nil"/>
            </w:tcBorders>
            <w:tcMar>
              <w:top w:w="0" w:type="dxa"/>
              <w:left w:w="62" w:type="dxa"/>
              <w:bottom w:w="0" w:type="dxa"/>
              <w:right w:w="62" w:type="dxa"/>
            </w:tcMar>
          </w:tcPr>
          <w:p w:rsidR="00000000" w:rsidRPr="00365225" w:rsidP="00365225">
            <w:pPr>
              <w:pStyle w:val="BodyText"/>
            </w:pPr>
            <w:r w:rsidRPr="00365225">
              <w:t xml:space="preserve">Condition report is prepared and provided, as required </w:t>
            </w:r>
          </w:p>
        </w:tc>
      </w:tr>
    </w:tbl>
    <w:p w:rsidR="00000000" w:rsidRPr="00365225" w:rsidP="00365225">
      <w:pPr>
        <w:pStyle w:val="BodyText"/>
      </w:pPr>
    </w:p>
    <w:p w:rsidR="00000000" w:rsidRPr="00365225" w:rsidP="00365225">
      <w:pPr>
        <w:pStyle w:val="AllowPageBreak"/>
      </w:pPr>
    </w:p>
    <w:p w:rsidR="00000000" w:rsidRPr="00365225" w:rsidP="00365225">
      <w:pPr>
        <w:pStyle w:val="Heading1"/>
      </w:pPr>
      <w:bookmarkStart w:id="7" w:name="O_621527"/>
      <w:bookmarkEnd w:id="7"/>
      <w:r w:rsidRPr="00365225">
        <w:t>Foundation Skills</w:t>
      </w:r>
    </w:p>
    <w:p w:rsidR="00000000" w:rsidRPr="00365225" w:rsidP="005A4C50">
      <w:pPr>
        <w:pStyle w:val="BodyText"/>
      </w:pPr>
      <w:r w:rsidRPr="00365225">
        <w:t>Foundation skills essential to performance are explicit in the performance criteria of this unit of competency. Detail on appropriate performance levels for each furnishing unit of competency in reading, writing, oral communication and numeracy utilising t</w:t>
      </w:r>
      <w:r w:rsidRPr="00365225">
        <w:t>he Australian Core Skills Framework (ACSF) are provided in the Furnishing Training Package Implementation Guide.</w:t>
      </w:r>
    </w:p>
    <w:p w:rsidR="00000000" w:rsidRPr="00365225" w:rsidP="00365225">
      <w:pPr>
        <w:pStyle w:val="Heading1"/>
      </w:pPr>
      <w:bookmarkStart w:id="8" w:name="O_621526"/>
      <w:bookmarkEnd w:id="8"/>
      <w:r w:rsidRPr="00365225">
        <w:t>Range of Conditions</w:t>
      </w:r>
    </w:p>
    <w:tbl>
      <w:tblPr>
        <w:tblW w:w="0" w:type="auto"/>
        <w:tblLayout w:type="fixed"/>
        <w:tblCellMar>
          <w:left w:w="62" w:type="dxa"/>
          <w:right w:w="62" w:type="dxa"/>
        </w:tblCellMar>
        <w:tblLook w:val="0000"/>
      </w:tblPr>
      <w:tblGrid>
        <w:gridCol w:w="2760"/>
        <w:gridCol w:w="6312"/>
      </w:tblGrid>
      <w:tr w:rsidTr="003652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t>Specifies different work environments and conditions that may affect performance. Essential operating cond</w:t>
            </w:r>
            <w:r w:rsidRPr="0036522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365225">
              <w:t>to the work environment.</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65225" w:rsidP="00365225">
            <w:pPr>
              <w:pStyle w:val="ListBullet"/>
            </w:pPr>
            <w:r w:rsidRPr="00365225">
              <w:t xml:space="preserve">WHS requirements, including legislation, building codes, material safety management systems, hazardous and dangerous goods codes, and local safe operating procedures or equivalent </w:t>
            </w:r>
          </w:p>
          <w:p w:rsidR="00000000" w:rsidRPr="00365225" w:rsidP="00365225">
            <w:pPr>
              <w:pStyle w:val="ListBullet"/>
            </w:pPr>
            <w:r w:rsidRPr="00365225">
              <w:t>work is carried out in accordance with legislative obligations, environmental legislation, relevant health regulations, manual handling procedures and organisation insurance requirements</w:t>
            </w:r>
          </w:p>
          <w:p w:rsidR="00000000" w:rsidP="00365225">
            <w:pPr>
              <w:pStyle w:val="ListBullet"/>
              <w:rPr>
                <w:lang w:val="en-NZ"/>
              </w:rPr>
            </w:pPr>
            <w:r w:rsidRPr="00365225">
              <w:t>work requires individuals to demonstrate discretion and apply judgeme</w:t>
            </w:r>
            <w:r w:rsidRPr="00365225">
              <w:t>nt and problem solving to complex issues</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365225" w:rsidP="00365225">
            <w:pPr>
              <w:pStyle w:val="ListBullet"/>
            </w:pPr>
            <w:r w:rsidRPr="00365225">
              <w:t>clients</w:t>
            </w:r>
          </w:p>
          <w:p w:rsidR="00000000" w:rsidRPr="00365225" w:rsidP="00365225">
            <w:pPr>
              <w:pStyle w:val="ListBullet"/>
            </w:pPr>
            <w:r w:rsidRPr="00365225">
              <w:t xml:space="preserve">architects </w:t>
            </w:r>
          </w:p>
          <w:p w:rsidR="00000000" w:rsidRPr="00365225" w:rsidP="00365225">
            <w:pPr>
              <w:pStyle w:val="ListBullet"/>
            </w:pPr>
            <w:r w:rsidRPr="00365225">
              <w:t xml:space="preserve">engineers </w:t>
            </w:r>
          </w:p>
          <w:p w:rsidR="00000000" w:rsidRPr="00365225" w:rsidP="00365225">
            <w:pPr>
              <w:pStyle w:val="ListBullet"/>
            </w:pPr>
            <w:r w:rsidRPr="00365225">
              <w:t xml:space="preserve">construction supervisors </w:t>
            </w:r>
          </w:p>
          <w:p w:rsidR="00000000" w:rsidRPr="00365225" w:rsidP="00365225">
            <w:pPr>
              <w:pStyle w:val="ListBullet"/>
            </w:pPr>
            <w:r w:rsidRPr="00365225">
              <w:t xml:space="preserve">members of heritage committees </w:t>
            </w:r>
          </w:p>
          <w:p w:rsidR="00000000" w:rsidRPr="00365225" w:rsidP="00365225">
            <w:pPr>
              <w:pStyle w:val="ListBullet"/>
            </w:pPr>
            <w:r w:rsidRPr="00365225">
              <w:t xml:space="preserve">government agencies </w:t>
            </w:r>
          </w:p>
          <w:p w:rsidR="00000000" w:rsidP="00365225">
            <w:pPr>
              <w:pStyle w:val="ListBullet"/>
              <w:rPr>
                <w:lang w:val="en-NZ"/>
              </w:rPr>
            </w:pPr>
            <w:r w:rsidRPr="00365225">
              <w:t xml:space="preserve">other specialist artisans, such as stonemasons, where appropriate </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Assessment outcomes include:</w:t>
            </w:r>
          </w:p>
        </w:tc>
        <w:tc>
          <w:tcPr>
            <w:tcW w:w="6312" w:type="dxa"/>
            <w:tcBorders>
              <w:top w:val="nil"/>
              <w:left w:val="nil"/>
              <w:bottom w:val="nil"/>
              <w:right w:val="nil"/>
            </w:tcBorders>
            <w:tcMar>
              <w:top w:w="0" w:type="dxa"/>
              <w:left w:w="62" w:type="dxa"/>
              <w:bottom w:w="0" w:type="dxa"/>
              <w:right w:w="62" w:type="dxa"/>
            </w:tcMar>
          </w:tcPr>
          <w:p w:rsidR="00000000" w:rsidRPr="00365225" w:rsidP="00365225">
            <w:pPr>
              <w:pStyle w:val="ListBullet"/>
            </w:pPr>
            <w:r w:rsidRPr="00365225">
              <w:t xml:space="preserve">the requirement to conserve the leadlight or stained glass panels </w:t>
            </w:r>
          </w:p>
          <w:p w:rsidR="00000000" w:rsidRPr="00365225" w:rsidP="00365225">
            <w:pPr>
              <w:pStyle w:val="ListBullet"/>
            </w:pPr>
            <w:r w:rsidRPr="00365225">
              <w:t xml:space="preserve">the cost of conservation </w:t>
            </w:r>
          </w:p>
          <w:p w:rsidR="00000000" w:rsidP="00365225">
            <w:pPr>
              <w:pStyle w:val="ListBullet"/>
              <w:rPr>
                <w:lang w:val="en-NZ"/>
              </w:rPr>
            </w:pPr>
            <w:r w:rsidRPr="00365225">
              <w:t xml:space="preserve">recommendations on future tasks </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65225" w:rsidP="00365225">
            <w:pPr>
              <w:pStyle w:val="ListBullet"/>
            </w:pPr>
            <w:r w:rsidRPr="00365225">
              <w:t xml:space="preserve">work benches </w:t>
            </w:r>
          </w:p>
          <w:p w:rsidR="00000000" w:rsidRPr="00365225" w:rsidP="00365225">
            <w:pPr>
              <w:pStyle w:val="ListBullet"/>
            </w:pPr>
            <w:r w:rsidRPr="00365225">
              <w:t xml:space="preserve">ladders and scaffolding </w:t>
            </w:r>
          </w:p>
          <w:p w:rsidR="00000000" w:rsidRPr="00365225" w:rsidP="00365225">
            <w:pPr>
              <w:pStyle w:val="ListBullet"/>
            </w:pPr>
            <w:r w:rsidRPr="00365225">
              <w:t xml:space="preserve">cameras </w:t>
            </w:r>
          </w:p>
          <w:p w:rsidR="00000000" w:rsidRPr="00365225" w:rsidP="00365225">
            <w:pPr>
              <w:pStyle w:val="ListBullet"/>
            </w:pPr>
            <w:r w:rsidRPr="00365225">
              <w:t>magnifying glasses</w:t>
            </w:r>
          </w:p>
          <w:p w:rsidR="00000000" w:rsidRPr="00365225" w:rsidP="00365225">
            <w:pPr>
              <w:pStyle w:val="ListBullet"/>
            </w:pPr>
            <w:r w:rsidRPr="00365225">
              <w:t xml:space="preserve">lights </w:t>
            </w:r>
          </w:p>
          <w:p w:rsidR="00000000" w:rsidP="00365225">
            <w:pPr>
              <w:pStyle w:val="ListBullet"/>
              <w:rPr>
                <w:lang w:val="en-NZ"/>
              </w:rPr>
            </w:pPr>
            <w:r w:rsidRPr="00365225">
              <w:t>general hand tools</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Plans and other documents include:</w:t>
            </w:r>
          </w:p>
        </w:tc>
        <w:tc>
          <w:tcPr>
            <w:tcW w:w="6312" w:type="dxa"/>
            <w:tcBorders>
              <w:top w:val="nil"/>
              <w:left w:val="nil"/>
              <w:bottom w:val="nil"/>
              <w:right w:val="nil"/>
            </w:tcBorders>
            <w:tcMar>
              <w:top w:w="0" w:type="dxa"/>
              <w:left w:w="62" w:type="dxa"/>
              <w:bottom w:w="0" w:type="dxa"/>
              <w:right w:w="62" w:type="dxa"/>
            </w:tcMar>
          </w:tcPr>
          <w:p w:rsidR="00000000" w:rsidRPr="00365225" w:rsidP="00365225">
            <w:pPr>
              <w:pStyle w:val="ListBullet"/>
            </w:pPr>
            <w:r w:rsidRPr="00365225">
              <w:t>original architectural plans</w:t>
            </w:r>
          </w:p>
          <w:p w:rsidR="00000000" w:rsidRPr="00365225" w:rsidP="00365225">
            <w:pPr>
              <w:pStyle w:val="ListBullet"/>
            </w:pPr>
            <w:r w:rsidRPr="00365225">
              <w:t>original drawings, cartoons and cut lines for glass panel</w:t>
            </w:r>
          </w:p>
          <w:p w:rsidR="00000000" w:rsidRPr="00365225" w:rsidP="00365225">
            <w:pPr>
              <w:pStyle w:val="ListBullet"/>
            </w:pPr>
            <w:r w:rsidRPr="00365225">
              <w:t xml:space="preserve">historical documentation and photographs </w:t>
            </w:r>
          </w:p>
          <w:p w:rsidR="00000000" w:rsidRPr="00365225" w:rsidP="00365225">
            <w:pPr>
              <w:pStyle w:val="ListBullet"/>
            </w:pPr>
            <w:r w:rsidRPr="00365225">
              <w:t xml:space="preserve">charcoal rubbings </w:t>
            </w:r>
          </w:p>
          <w:p w:rsidR="00000000" w:rsidP="00365225">
            <w:pPr>
              <w:pStyle w:val="ListBullet"/>
              <w:rPr>
                <w:lang w:val="en-NZ"/>
              </w:rPr>
            </w:pPr>
            <w:r w:rsidRPr="00365225">
              <w:t>sketches</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Glass faults include:</w:t>
            </w:r>
          </w:p>
        </w:tc>
        <w:tc>
          <w:tcPr>
            <w:tcW w:w="6312" w:type="dxa"/>
            <w:tcBorders>
              <w:top w:val="nil"/>
              <w:left w:val="nil"/>
              <w:bottom w:val="nil"/>
              <w:right w:val="nil"/>
            </w:tcBorders>
            <w:tcMar>
              <w:top w:w="0" w:type="dxa"/>
              <w:left w:w="62" w:type="dxa"/>
              <w:bottom w:w="0" w:type="dxa"/>
              <w:right w:w="62" w:type="dxa"/>
            </w:tcMar>
          </w:tcPr>
          <w:p w:rsidR="00000000" w:rsidRPr="00365225" w:rsidP="00365225">
            <w:pPr>
              <w:pStyle w:val="ListBullet"/>
            </w:pPr>
            <w:r w:rsidRPr="00365225">
              <w:t xml:space="preserve">cracking </w:t>
            </w:r>
          </w:p>
          <w:p w:rsidR="00000000" w:rsidRPr="00365225" w:rsidP="00365225">
            <w:pPr>
              <w:pStyle w:val="ListBullet"/>
            </w:pPr>
            <w:r w:rsidRPr="00365225">
              <w:t xml:space="preserve">crazing and missing sections </w:t>
            </w:r>
          </w:p>
          <w:p w:rsidR="00000000" w:rsidRPr="00365225" w:rsidP="00365225">
            <w:pPr>
              <w:pStyle w:val="ListBullet"/>
            </w:pPr>
            <w:r w:rsidRPr="00365225">
              <w:t xml:space="preserve">deterioration of glass paint </w:t>
            </w:r>
          </w:p>
          <w:p w:rsidR="00000000" w:rsidRPr="00365225" w:rsidP="00365225">
            <w:pPr>
              <w:pStyle w:val="ListBullet"/>
            </w:pPr>
            <w:r w:rsidRPr="00365225">
              <w:t xml:space="preserve">loose or flaking paint </w:t>
            </w:r>
          </w:p>
          <w:p w:rsidR="00000000" w:rsidP="00365225">
            <w:pPr>
              <w:pStyle w:val="ListBullet"/>
              <w:rPr>
                <w:lang w:val="en-NZ"/>
              </w:rPr>
            </w:pPr>
            <w:r w:rsidRPr="00365225">
              <w:t>corroding glass through water or chemical action</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Structural faults include:</w:t>
            </w:r>
          </w:p>
        </w:tc>
        <w:tc>
          <w:tcPr>
            <w:tcW w:w="6312" w:type="dxa"/>
            <w:tcBorders>
              <w:top w:val="nil"/>
              <w:left w:val="nil"/>
              <w:bottom w:val="nil"/>
              <w:right w:val="nil"/>
            </w:tcBorders>
            <w:tcMar>
              <w:top w:w="0" w:type="dxa"/>
              <w:left w:w="62" w:type="dxa"/>
              <w:bottom w:w="0" w:type="dxa"/>
              <w:right w:w="62" w:type="dxa"/>
            </w:tcMar>
          </w:tcPr>
          <w:p w:rsidR="00000000" w:rsidRPr="00365225" w:rsidP="00365225">
            <w:pPr>
              <w:pStyle w:val="ListBullet"/>
            </w:pPr>
            <w:r w:rsidRPr="00365225">
              <w:t xml:space="preserve">oxidation and rusting supports </w:t>
            </w:r>
          </w:p>
          <w:p w:rsidR="00000000" w:rsidRPr="00365225" w:rsidP="00365225">
            <w:pPr>
              <w:pStyle w:val="ListBullet"/>
            </w:pPr>
            <w:r w:rsidRPr="00365225">
              <w:t xml:space="preserve">panel frame deterioration </w:t>
            </w:r>
          </w:p>
          <w:p w:rsidR="00000000" w:rsidRPr="00365225" w:rsidP="00365225">
            <w:pPr>
              <w:pStyle w:val="ListBullet"/>
            </w:pPr>
            <w:r w:rsidRPr="00365225">
              <w:t xml:space="preserve">buckled and bowing panels </w:t>
            </w:r>
          </w:p>
          <w:p w:rsidR="00000000" w:rsidRPr="00365225" w:rsidP="00365225">
            <w:pPr>
              <w:pStyle w:val="ListBullet"/>
            </w:pPr>
            <w:r w:rsidRPr="00365225">
              <w:t xml:space="preserve">cracked </w:t>
            </w:r>
            <w:r w:rsidRPr="00365225">
              <w:t xml:space="preserve">cames and defective putty </w:t>
            </w:r>
          </w:p>
          <w:p w:rsidR="00000000" w:rsidRPr="00365225" w:rsidP="00365225">
            <w:pPr>
              <w:pStyle w:val="ListBullet"/>
            </w:pPr>
            <w:r w:rsidRPr="00365225">
              <w:t xml:space="preserve">faulty frames or frame settings </w:t>
            </w:r>
          </w:p>
          <w:p w:rsidR="00000000" w:rsidP="00365225">
            <w:pPr>
              <w:pStyle w:val="ListBullet"/>
              <w:rPr>
                <w:lang w:val="en-NZ"/>
              </w:rPr>
            </w:pPr>
            <w:r w:rsidRPr="00365225">
              <w:t>broken tie wires and support bars</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Environmental effects include:</w:t>
            </w:r>
          </w:p>
        </w:tc>
        <w:tc>
          <w:tcPr>
            <w:tcW w:w="6312" w:type="dxa"/>
            <w:tcBorders>
              <w:top w:val="nil"/>
              <w:left w:val="nil"/>
              <w:bottom w:val="nil"/>
              <w:right w:val="nil"/>
            </w:tcBorders>
            <w:tcMar>
              <w:top w:w="0" w:type="dxa"/>
              <w:left w:w="62" w:type="dxa"/>
              <w:bottom w:w="0" w:type="dxa"/>
              <w:right w:w="62" w:type="dxa"/>
            </w:tcMar>
          </w:tcPr>
          <w:p w:rsidR="00000000" w:rsidRPr="00365225" w:rsidP="00365225">
            <w:pPr>
              <w:pStyle w:val="ListBullet"/>
            </w:pPr>
            <w:r w:rsidRPr="00365225">
              <w:t xml:space="preserve">colour changes </w:t>
            </w:r>
          </w:p>
          <w:p w:rsidR="00000000" w:rsidRPr="00365225" w:rsidP="00365225">
            <w:pPr>
              <w:pStyle w:val="ListBullet"/>
            </w:pPr>
            <w:r w:rsidRPr="00365225">
              <w:t xml:space="preserve">surface etching </w:t>
            </w:r>
          </w:p>
          <w:p w:rsidR="00000000" w:rsidP="00365225">
            <w:pPr>
              <w:pStyle w:val="ListBullet"/>
              <w:rPr>
                <w:lang w:val="en-NZ"/>
              </w:rPr>
            </w:pPr>
            <w:r w:rsidRPr="00365225">
              <w:t>lead oxidation</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Other problems include:</w:t>
            </w:r>
          </w:p>
        </w:tc>
        <w:tc>
          <w:tcPr>
            <w:tcW w:w="6312" w:type="dxa"/>
            <w:tcBorders>
              <w:top w:val="nil"/>
              <w:left w:val="nil"/>
              <w:bottom w:val="nil"/>
              <w:right w:val="nil"/>
            </w:tcBorders>
            <w:tcMar>
              <w:top w:w="0" w:type="dxa"/>
              <w:left w:w="62" w:type="dxa"/>
              <w:bottom w:w="0" w:type="dxa"/>
              <w:right w:w="62" w:type="dxa"/>
            </w:tcMar>
          </w:tcPr>
          <w:p w:rsidR="00000000" w:rsidP="00365225">
            <w:pPr>
              <w:pStyle w:val="ListBullet"/>
              <w:rPr>
                <w:lang w:val="en-NZ"/>
              </w:rPr>
            </w:pPr>
            <w:r w:rsidRPr="00365225">
              <w:t>building, wall and roof problems requiring specific remedial action, not directly related to the panel</w:t>
            </w:r>
          </w:p>
        </w:tc>
      </w:tr>
      <w:tr w:rsidTr="00365225">
        <w:tblPrEx>
          <w:tblW w:w="0" w:type="auto"/>
          <w:tblLayout w:type="fixed"/>
          <w:tblCellMar>
            <w:left w:w="62" w:type="dxa"/>
            <w:right w:w="62" w:type="dxa"/>
          </w:tblCellMar>
          <w:tblLook w:val="0000"/>
        </w:tblPrEx>
        <w:trPr>
          <w:trHeight w:val="2354"/>
        </w:trPr>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Conservation includes:</w:t>
            </w:r>
          </w:p>
        </w:tc>
        <w:tc>
          <w:tcPr>
            <w:tcW w:w="6312" w:type="dxa"/>
            <w:tcBorders>
              <w:top w:val="nil"/>
              <w:left w:val="nil"/>
              <w:bottom w:val="nil"/>
              <w:right w:val="nil"/>
            </w:tcBorders>
            <w:tcMar>
              <w:top w:w="0" w:type="dxa"/>
              <w:left w:w="62" w:type="dxa"/>
              <w:bottom w:w="0" w:type="dxa"/>
              <w:right w:w="62" w:type="dxa"/>
            </w:tcMar>
          </w:tcPr>
          <w:p w:rsidR="00000000" w:rsidRPr="00365225" w:rsidP="00365225">
            <w:pPr>
              <w:pStyle w:val="ListBullet"/>
            </w:pPr>
            <w:r w:rsidRPr="00365225">
              <w:t>advice in the Australia International Council on Monuments and Sites (ICOMOS) Burra Charter as meaning all of the processes of l</w:t>
            </w:r>
            <w:r w:rsidRPr="00365225">
              <w:t>ooking after a place needed to retain cultural significance</w:t>
            </w:r>
          </w:p>
          <w:p w:rsidR="00000000" w:rsidP="00365225">
            <w:pPr>
              <w:pStyle w:val="ListBullet"/>
              <w:rPr>
                <w:lang w:val="en-NZ"/>
              </w:rPr>
            </w:pPr>
            <w:r w:rsidRPr="00365225">
              <w:t>preservation, restoration, reconstruction and adaptation dependent upon specific circumstances (or a combination of more than one of these) respecting and understanding the requirements of other s</w:t>
            </w:r>
            <w:r w:rsidRPr="00365225">
              <w:t>pecialist crafts and the role of other specialist artisans</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Preservation includes:</w:t>
            </w:r>
          </w:p>
        </w:tc>
        <w:tc>
          <w:tcPr>
            <w:tcW w:w="6312" w:type="dxa"/>
            <w:tcBorders>
              <w:top w:val="nil"/>
              <w:left w:val="nil"/>
              <w:bottom w:val="nil"/>
              <w:right w:val="nil"/>
            </w:tcBorders>
            <w:tcMar>
              <w:top w:w="0" w:type="dxa"/>
              <w:left w:w="62" w:type="dxa"/>
              <w:bottom w:w="0" w:type="dxa"/>
              <w:right w:w="62" w:type="dxa"/>
            </w:tcMar>
          </w:tcPr>
          <w:p w:rsidR="00000000" w:rsidP="00365225">
            <w:pPr>
              <w:pStyle w:val="ListBullet"/>
              <w:rPr>
                <w:lang w:val="en-NZ"/>
              </w:rPr>
            </w:pPr>
            <w:r w:rsidRPr="00365225">
              <w:t>maintaining the leadlight and stained glass panel in its existing state and of retarding deterioration</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Restoration includes:</w:t>
            </w:r>
          </w:p>
        </w:tc>
        <w:tc>
          <w:tcPr>
            <w:tcW w:w="6312" w:type="dxa"/>
            <w:tcBorders>
              <w:top w:val="nil"/>
              <w:left w:val="nil"/>
              <w:bottom w:val="nil"/>
              <w:right w:val="nil"/>
            </w:tcBorders>
            <w:tcMar>
              <w:top w:w="0" w:type="dxa"/>
              <w:left w:w="62" w:type="dxa"/>
              <w:bottom w:w="0" w:type="dxa"/>
              <w:right w:w="62" w:type="dxa"/>
            </w:tcMar>
          </w:tcPr>
          <w:p w:rsidR="00000000" w:rsidP="00365225">
            <w:pPr>
              <w:pStyle w:val="ListBullet"/>
              <w:rPr>
                <w:lang w:val="en-NZ"/>
              </w:rPr>
            </w:pPr>
            <w:r w:rsidRPr="00365225">
              <w:t>returning the leadlight and stained glass panel to a known earlier state by removing accretions or by re-assembling existing components without the introduction of new material</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Reconstruction includes:</w:t>
            </w:r>
          </w:p>
        </w:tc>
        <w:tc>
          <w:tcPr>
            <w:tcW w:w="6312" w:type="dxa"/>
            <w:tcBorders>
              <w:top w:val="nil"/>
              <w:left w:val="nil"/>
              <w:bottom w:val="nil"/>
              <w:right w:val="nil"/>
            </w:tcBorders>
            <w:tcMar>
              <w:top w:w="0" w:type="dxa"/>
              <w:left w:w="62" w:type="dxa"/>
              <w:bottom w:w="0" w:type="dxa"/>
              <w:right w:w="62" w:type="dxa"/>
            </w:tcMar>
          </w:tcPr>
          <w:p w:rsidR="00000000" w:rsidP="00365225">
            <w:pPr>
              <w:pStyle w:val="ListBullet"/>
              <w:rPr>
                <w:lang w:val="en-NZ"/>
              </w:rPr>
            </w:pPr>
            <w:r w:rsidRPr="00365225">
              <w:t>returning the leadlight and stained glass panel to a</w:t>
            </w:r>
            <w:r w:rsidRPr="00365225">
              <w:t xml:space="preserve"> known earlier state and is distinguished by the introduction of new materials</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Condition report includes:</w:t>
            </w:r>
          </w:p>
        </w:tc>
        <w:tc>
          <w:tcPr>
            <w:tcW w:w="6312" w:type="dxa"/>
            <w:tcBorders>
              <w:top w:val="nil"/>
              <w:left w:val="nil"/>
              <w:bottom w:val="nil"/>
              <w:right w:val="nil"/>
            </w:tcBorders>
            <w:tcMar>
              <w:top w:w="0" w:type="dxa"/>
              <w:left w:w="62" w:type="dxa"/>
              <w:bottom w:w="0" w:type="dxa"/>
              <w:right w:w="62" w:type="dxa"/>
            </w:tcMar>
          </w:tcPr>
          <w:p w:rsidR="00000000" w:rsidRPr="00365225" w:rsidP="00365225">
            <w:pPr>
              <w:pStyle w:val="ListBullet"/>
            </w:pPr>
            <w:r w:rsidRPr="00365225">
              <w:t xml:space="preserve">detailing the extent of the problems </w:t>
            </w:r>
          </w:p>
          <w:p w:rsidR="00000000" w:rsidRPr="00365225" w:rsidP="00365225">
            <w:pPr>
              <w:pStyle w:val="ListBullet"/>
            </w:pPr>
            <w:r w:rsidRPr="00365225">
              <w:t>recommended solutions, including methodologies</w:t>
            </w:r>
          </w:p>
          <w:p w:rsidR="00000000" w:rsidRPr="00365225" w:rsidP="00365225">
            <w:pPr>
              <w:pStyle w:val="ListBullet"/>
            </w:pPr>
            <w:r w:rsidRPr="00365225">
              <w:t>photographic evidence of current condition and location</w:t>
            </w:r>
          </w:p>
          <w:p w:rsidR="00000000" w:rsidP="00365225">
            <w:pPr>
              <w:pStyle w:val="ListBullet"/>
              <w:rPr>
                <w:lang w:val="en-NZ"/>
              </w:rPr>
            </w:pPr>
            <w:r w:rsidRPr="00365225">
              <w:t xml:space="preserve">legislative requirements related to heritage leadlight and stained glass and their effect on the recommendations and probable costing </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5225" w:rsidP="00365225">
            <w:pPr>
              <w:pStyle w:val="BodyText"/>
            </w:pPr>
            <w:r w:rsidRPr="00365225">
              <w:rPr>
                <w:rStyle w:val="SpecialBold"/>
              </w:rPr>
              <w:t>Personal protective equipment includes:</w:t>
            </w:r>
          </w:p>
          <w:p w:rsidR="00000000" w:rsidP="0036522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5225" w:rsidP="00365225">
            <w:pPr>
              <w:pStyle w:val="ListBullet"/>
            </w:pPr>
            <w:r w:rsidRPr="00365225">
              <w:t>that prescribed under legislation, regulation and enterprise policies and prac</w:t>
            </w:r>
            <w:r w:rsidRPr="00365225">
              <w:t>tices:</w:t>
            </w:r>
          </w:p>
          <w:p w:rsidR="00000000" w:rsidRPr="00365225" w:rsidP="00365225">
            <w:pPr>
              <w:pStyle w:val="ListBullet2"/>
            </w:pPr>
            <w:r w:rsidRPr="00365225">
              <w:t>gauntlets</w:t>
            </w:r>
          </w:p>
          <w:p w:rsidR="00000000" w:rsidRPr="00365225" w:rsidP="00365225">
            <w:pPr>
              <w:pStyle w:val="ListBullet2"/>
            </w:pPr>
            <w:r w:rsidRPr="00365225">
              <w:t>gloves</w:t>
            </w:r>
          </w:p>
          <w:p w:rsidR="00000000" w:rsidRPr="00365225" w:rsidP="00365225">
            <w:pPr>
              <w:pStyle w:val="ListBullet2"/>
            </w:pPr>
            <w:r w:rsidRPr="00365225">
              <w:t>safety glasses</w:t>
            </w:r>
          </w:p>
          <w:p w:rsidR="00000000" w:rsidRPr="00365225" w:rsidP="00365225">
            <w:pPr>
              <w:pStyle w:val="ListBullet2"/>
            </w:pPr>
            <w:r w:rsidRPr="00365225">
              <w:t>hard hats</w:t>
            </w:r>
          </w:p>
          <w:p w:rsidR="00000000" w:rsidRPr="00365225" w:rsidP="00365225">
            <w:pPr>
              <w:pStyle w:val="ListBullet2"/>
            </w:pPr>
            <w:r w:rsidRPr="00365225">
              <w:t>safety footwear</w:t>
            </w:r>
          </w:p>
          <w:p w:rsidR="00000000" w:rsidP="00365225">
            <w:pPr>
              <w:pStyle w:val="ListBullet2"/>
              <w:rPr>
                <w:lang w:val="en-NZ"/>
              </w:rPr>
            </w:pPr>
            <w:r w:rsidRPr="00365225">
              <w:t>aprons and overalls</w:t>
            </w:r>
          </w:p>
        </w:tc>
      </w:tr>
      <w:tr w:rsidTr="003652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225">
            <w:pPr>
              <w:pStyle w:val="BodyText"/>
              <w:rPr>
                <w:lang w:val="en-NZ"/>
              </w:rPr>
            </w:pPr>
            <w:r w:rsidRPr="0036522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65225" w:rsidP="00365225">
            <w:pPr>
              <w:pStyle w:val="ListBullet"/>
            </w:pPr>
            <w:r w:rsidRPr="00365225">
              <w:t xml:space="preserve">workplace procedures relating to the use of tools and equipment and personal protective equipment </w:t>
            </w:r>
          </w:p>
          <w:p w:rsidR="00000000" w:rsidRPr="00365225" w:rsidP="00365225">
            <w:pPr>
              <w:pStyle w:val="ListBullet"/>
            </w:pPr>
            <w:r w:rsidRPr="00365225">
              <w:t xml:space="preserve">work instructions, including job sheets, cutting lists, plans, drawings and designs </w:t>
            </w:r>
          </w:p>
          <w:p w:rsidR="00000000" w:rsidRPr="00365225" w:rsidP="00365225">
            <w:pPr>
              <w:pStyle w:val="ListBullet"/>
            </w:pPr>
            <w:r w:rsidRPr="00365225">
              <w:t xml:space="preserve">workplace procedures relating to reporting and communication </w:t>
            </w:r>
          </w:p>
          <w:p w:rsidR="00000000" w:rsidRPr="00365225" w:rsidP="00365225">
            <w:pPr>
              <w:pStyle w:val="ListBullet"/>
            </w:pPr>
            <w:r w:rsidRPr="00365225">
              <w:t>manufacturer specifications and operational procedures</w:t>
            </w:r>
          </w:p>
        </w:tc>
      </w:tr>
    </w:tbl>
    <w:p w:rsidR="00000000" w:rsidRPr="00365225" w:rsidP="00365225">
      <w:pPr>
        <w:pStyle w:val="BodyText"/>
      </w:pPr>
    </w:p>
    <w:p w:rsidR="00000000" w:rsidRPr="00365225" w:rsidP="00365225">
      <w:pPr>
        <w:pStyle w:val="AllowPageBreak"/>
      </w:pPr>
    </w:p>
    <w:p w:rsidR="00000000" w:rsidRPr="00365225" w:rsidP="00365225">
      <w:pPr>
        <w:pStyle w:val="Heading1"/>
      </w:pPr>
      <w:bookmarkStart w:id="9" w:name="O_621525"/>
      <w:bookmarkEnd w:id="9"/>
      <w:r w:rsidRPr="00365225">
        <w:t>Unit Mapping Information</w:t>
      </w:r>
    </w:p>
    <w:p w:rsidR="00000000" w:rsidRPr="00365225" w:rsidP="005A4C50">
      <w:pPr>
        <w:pStyle w:val="BodyText"/>
      </w:pPr>
      <w:r w:rsidRPr="00365225">
        <w:t>Supersedes</w:t>
      </w:r>
      <w:r w:rsidRPr="00365225">
        <w:t xml:space="preserve"> and is equivalent to LMFSL5001B Assess conservation requirements.</w:t>
      </w:r>
    </w:p>
    <w:p w:rsidR="00000000" w:rsidRPr="00365225" w:rsidP="00365225">
      <w:pPr>
        <w:pStyle w:val="Heading1"/>
      </w:pPr>
      <w:bookmarkStart w:id="10" w:name="O_621518"/>
      <w:bookmarkEnd w:id="10"/>
      <w:r w:rsidRPr="00365225">
        <w:t>Links</w:t>
      </w:r>
    </w:p>
    <w:p w:rsidR="00000000" w:rsidRPr="00365225" w:rsidP="005A4C50">
      <w:pPr>
        <w:pStyle w:val="BodyText"/>
      </w:pPr>
      <w:r w:rsidRPr="0036522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228DA">
        <w:rPr>
          <w:rStyle w:val="Hyperlink"/>
        </w:rPr>
        <w:t>https://vetnet.gov.au/Pages/TrainingDocs.aspx?q=0601ab95-583a-4e93-b2d4-cfb27b03ed73</w:t>
      </w:r>
      <w:r>
        <w:fldChar w:fldCharType="end"/>
      </w:r>
    </w:p>
    <w:p w:rsidR="00000000" w:rsidRPr="00365225" w:rsidP="005A4C50">
      <w:pPr>
        <w:pStyle w:val="BodyText"/>
        <w:sectPr w:rsidSect="00365225">
          <w:headerReference w:type="default" r:id="rId10"/>
          <w:footerReference w:type="default" r:id="rId11"/>
          <w:pgSz w:w="11908" w:h="16833"/>
          <w:pgMar w:top="1702" w:right="1418" w:bottom="1702" w:left="1418" w:header="992" w:footer="992" w:gutter="0"/>
          <w:cols w:space="720"/>
          <w:noEndnote/>
          <w:docGrid w:linePitch="299"/>
        </w:sectPr>
      </w:pPr>
    </w:p>
    <w:p w:rsidR="00000000" w:rsidRPr="00365225" w:rsidP="00365225">
      <w:pPr>
        <w:pStyle w:val="SuperHeading"/>
      </w:pPr>
      <w:r w:rsidRPr="00365225">
        <w:t>Assessment Requirements for MSFSL5001 Assess conservation requirements</w:t>
      </w:r>
    </w:p>
    <w:p w:rsidR="00000000" w:rsidRPr="00365225" w:rsidP="00365225">
      <w:pPr>
        <w:pStyle w:val="Heading1"/>
      </w:pPr>
      <w:bookmarkStart w:id="11" w:name="O_621520"/>
      <w:bookmarkEnd w:id="11"/>
      <w:r w:rsidRPr="00365225">
        <w:t>Modification History</w:t>
      </w:r>
    </w:p>
    <w:p w:rsidR="00000000" w:rsidRPr="00365225" w:rsidP="005A4C50">
      <w:pPr>
        <w:pStyle w:val="BodyText"/>
      </w:pPr>
      <w:r w:rsidRPr="00365225">
        <w:t>Release 1 - New unit of competency</w:t>
      </w:r>
    </w:p>
    <w:p w:rsidR="00000000" w:rsidRPr="00365225" w:rsidP="00365225">
      <w:pPr>
        <w:pStyle w:val="Heading1"/>
      </w:pPr>
      <w:bookmarkStart w:id="12" w:name="O_621523"/>
      <w:bookmarkEnd w:id="12"/>
      <w:r w:rsidRPr="00365225">
        <w:t>Performance Evidence</w:t>
      </w:r>
    </w:p>
    <w:p w:rsidR="00000000" w:rsidRPr="00365225" w:rsidP="00365225">
      <w:pPr>
        <w:pStyle w:val="ListBullet"/>
      </w:pPr>
      <w:r w:rsidRPr="00365225">
        <w:t xml:space="preserve">Interpret work order and locate and apply relevant information </w:t>
      </w:r>
    </w:p>
    <w:p w:rsidR="00000000" w:rsidRPr="00365225" w:rsidP="00365225">
      <w:pPr>
        <w:pStyle w:val="ListBullet"/>
      </w:pPr>
      <w:r w:rsidRPr="00365225">
        <w:t xml:space="preserve">Apply safe handling requirements for equipment, products and materials, including use of personal protective equipment </w:t>
      </w:r>
    </w:p>
    <w:p w:rsidR="00000000" w:rsidRPr="00365225" w:rsidP="00365225">
      <w:pPr>
        <w:pStyle w:val="ListBullet"/>
      </w:pPr>
      <w:r w:rsidRPr="00365225">
        <w:t xml:space="preserve">Identify materials used in the work process </w:t>
      </w:r>
    </w:p>
    <w:p w:rsidR="00000000" w:rsidRPr="00365225" w:rsidP="00365225">
      <w:pPr>
        <w:pStyle w:val="ListBullet"/>
      </w:pPr>
      <w:r w:rsidRPr="00365225">
        <w:t>Follow work instructions, o</w:t>
      </w:r>
      <w:r w:rsidRPr="00365225">
        <w:t xml:space="preserve">perating procedures and inspection processes to: </w:t>
      </w:r>
    </w:p>
    <w:p w:rsidR="00000000" w:rsidRPr="00365225" w:rsidP="00365225">
      <w:pPr>
        <w:pStyle w:val="ListBullet2"/>
      </w:pPr>
      <w:r w:rsidRPr="00365225">
        <w:t xml:space="preserve">minimise the risk of injury to self or others </w:t>
      </w:r>
    </w:p>
    <w:p w:rsidR="00000000" w:rsidRPr="00365225" w:rsidP="00365225">
      <w:pPr>
        <w:pStyle w:val="ListBullet2"/>
      </w:pPr>
      <w:r w:rsidRPr="00365225">
        <w:t xml:space="preserve">prevent damage to goods, equipment and products </w:t>
      </w:r>
    </w:p>
    <w:p w:rsidR="00000000" w:rsidRPr="00365225" w:rsidP="00365225">
      <w:pPr>
        <w:pStyle w:val="ListBullet2"/>
      </w:pPr>
      <w:r w:rsidRPr="00365225">
        <w:t xml:space="preserve">maintain required production output and product quality </w:t>
      </w:r>
    </w:p>
    <w:p w:rsidR="00000000" w:rsidRPr="00365225" w:rsidP="00365225">
      <w:pPr>
        <w:pStyle w:val="ListBullet"/>
      </w:pPr>
      <w:r w:rsidRPr="00365225">
        <w:t>Identify and interpret heritage legislation as it applies to leadlight and stained glass panels</w:t>
      </w:r>
    </w:p>
    <w:p w:rsidR="00000000" w:rsidRPr="00365225" w:rsidP="00365225">
      <w:pPr>
        <w:pStyle w:val="ListBullet"/>
      </w:pPr>
      <w:r w:rsidRPr="00365225">
        <w:t xml:space="preserve">Identify historical leadlight and stained glass panel construction methods </w:t>
      </w:r>
    </w:p>
    <w:p w:rsidR="00000000" w:rsidRPr="00365225" w:rsidP="00365225">
      <w:pPr>
        <w:pStyle w:val="ListBullet"/>
      </w:pPr>
      <w:r w:rsidRPr="00365225">
        <w:t>Identify framing, structural and construction techniques relevant to leadlight and s</w:t>
      </w:r>
      <w:r w:rsidRPr="00365225">
        <w:t>tained glass panels</w:t>
      </w:r>
    </w:p>
    <w:p w:rsidR="00000000" w:rsidRPr="00365225" w:rsidP="00365225">
      <w:pPr>
        <w:pStyle w:val="ListBullet"/>
      </w:pPr>
      <w:r w:rsidRPr="00365225">
        <w:t>Identify the outcomes of various environmental effects on leadlight and stained glass panels</w:t>
      </w:r>
    </w:p>
    <w:p w:rsidR="00000000" w:rsidRPr="00365225" w:rsidP="00365225">
      <w:pPr>
        <w:pStyle w:val="ListBullet"/>
      </w:pPr>
      <w:r w:rsidRPr="00365225">
        <w:t>Identify faults and problems with leadlight and stained glass panels, and their remedial methods</w:t>
      </w:r>
    </w:p>
    <w:p w:rsidR="00000000" w:rsidRPr="00365225" w:rsidP="00365225">
      <w:pPr>
        <w:pStyle w:val="ListBullet"/>
      </w:pPr>
      <w:r w:rsidRPr="00365225">
        <w:t>Inspect a minimum of two (2) separate and diff</w:t>
      </w:r>
      <w:r w:rsidRPr="00365225">
        <w:t>ering leadlight and stained glass installations, assess the conservation requirements and draft a report of findings with recommendations</w:t>
      </w:r>
    </w:p>
    <w:p w:rsidR="00000000" w:rsidRPr="00365225" w:rsidP="00365225">
      <w:pPr>
        <w:pStyle w:val="ListBullet"/>
      </w:pPr>
      <w:r w:rsidRPr="00365225">
        <w:t>Comply with legislation, regulations, standards, codes of practice and established safe practices and procedures for t</w:t>
      </w:r>
      <w:r w:rsidRPr="00365225">
        <w:t xml:space="preserve">he assessment of conservation requirements of leadlight and stained glass panels  </w:t>
      </w:r>
    </w:p>
    <w:p w:rsidR="00000000" w:rsidRPr="00365225" w:rsidP="00365225">
      <w:pPr>
        <w:pStyle w:val="ListBullet"/>
      </w:pPr>
      <w:r w:rsidRPr="00365225">
        <w:t xml:space="preserve">Use mathematical ideas and techniques to correctly complete measurements, calculate area and estimate material requirements </w:t>
      </w:r>
    </w:p>
    <w:p w:rsidR="00000000" w:rsidRPr="00365225" w:rsidP="00365225">
      <w:pPr>
        <w:pStyle w:val="ListBullet"/>
      </w:pPr>
      <w:r w:rsidRPr="00365225">
        <w:t>Communicate ideas and information to enable conf</w:t>
      </w:r>
      <w:r w:rsidRPr="00365225">
        <w:t xml:space="preserve">irmation of work requirements and specifications and the reporting of work outcomes and problems, interpret basic plans and follow safety procedures </w:t>
      </w:r>
    </w:p>
    <w:p w:rsidR="00000000" w:rsidRPr="00365225" w:rsidP="00365225">
      <w:pPr>
        <w:pStyle w:val="ListBullet"/>
      </w:pPr>
      <w:r w:rsidRPr="00365225">
        <w:t>Avoid backtracking, work flow interruptions or wastage</w:t>
      </w:r>
    </w:p>
    <w:p w:rsidR="00000000" w:rsidRPr="00365225" w:rsidP="00365225">
      <w:pPr>
        <w:pStyle w:val="ListBullet"/>
      </w:pPr>
      <w:r w:rsidRPr="00365225">
        <w:t>Work with others and in a team by recognising depen</w:t>
      </w:r>
      <w:r w:rsidRPr="00365225">
        <w:t>dencies and using cooperative approaches to optimise work flow and productivity</w:t>
      </w:r>
    </w:p>
    <w:p w:rsidR="00000000" w:rsidRPr="00365225" w:rsidP="00365225">
      <w:pPr>
        <w:pStyle w:val="AllowPageBreak"/>
      </w:pPr>
    </w:p>
    <w:p w:rsidR="00000000" w:rsidRPr="00365225" w:rsidP="00365225">
      <w:pPr>
        <w:pStyle w:val="Heading1"/>
      </w:pPr>
      <w:bookmarkStart w:id="13" w:name="O_621522"/>
      <w:bookmarkEnd w:id="13"/>
      <w:r w:rsidRPr="00365225">
        <w:t>Knowledge Evidence</w:t>
      </w:r>
    </w:p>
    <w:p w:rsidR="00000000" w:rsidRPr="00365225" w:rsidP="00365225">
      <w:pPr>
        <w:pStyle w:val="ListBullet"/>
      </w:pPr>
      <w:r w:rsidRPr="00365225">
        <w:t xml:space="preserve">State or territory WHS legislation, regulations, standards and codes of practice relevant to the full </w:t>
      </w:r>
      <w:r w:rsidRPr="00365225">
        <w:t>range of processes for leadlight and stained glass operations</w:t>
      </w:r>
    </w:p>
    <w:p w:rsidR="00000000" w:rsidRPr="00365225" w:rsidP="00365225">
      <w:pPr>
        <w:pStyle w:val="ListBullet"/>
      </w:pPr>
      <w:r w:rsidRPr="00365225">
        <w:t>Leadlight and stained glass panels construction and repair terminology and techniques</w:t>
      </w:r>
    </w:p>
    <w:p w:rsidR="00000000" w:rsidRPr="00365225" w:rsidP="00365225">
      <w:pPr>
        <w:pStyle w:val="ListBullet"/>
      </w:pPr>
      <w:r w:rsidRPr="00365225">
        <w:t>The principles and guidelines of the Australia International Council on Monuments and Sites (ICOMOS) Burra C</w:t>
      </w:r>
      <w:r w:rsidRPr="00365225">
        <w:t>harter</w:t>
      </w:r>
    </w:p>
    <w:p w:rsidR="00000000" w:rsidRPr="00365225" w:rsidP="00365225">
      <w:pPr>
        <w:pStyle w:val="ListBullet"/>
      </w:pPr>
      <w:r w:rsidRPr="00365225">
        <w:t xml:space="preserve">Organisational and site standards, requirements, policies and procedures for the assessment of leadlight and stained glass panels </w:t>
      </w:r>
    </w:p>
    <w:p w:rsidR="00000000" w:rsidRPr="00365225" w:rsidP="00365225">
      <w:pPr>
        <w:pStyle w:val="ListBullet"/>
      </w:pPr>
      <w:r w:rsidRPr="00365225">
        <w:t>Types of glass and other materials, historically used in the leadlight and stained glass industry, their characteristi</w:t>
      </w:r>
      <w:r w:rsidRPr="00365225">
        <w:t>cs, properties, uses and limitations</w:t>
      </w:r>
    </w:p>
    <w:p w:rsidR="00000000" w:rsidRPr="00365225" w:rsidP="00365225">
      <w:pPr>
        <w:pStyle w:val="ListBullet"/>
      </w:pPr>
      <w:r w:rsidRPr="00365225">
        <w:t>Environmental effects on leadlight and stained glass panels</w:t>
      </w:r>
    </w:p>
    <w:p w:rsidR="00000000" w:rsidRPr="00365225" w:rsidP="00365225">
      <w:pPr>
        <w:pStyle w:val="ListBullet"/>
      </w:pPr>
      <w:r w:rsidRPr="00365225">
        <w:t xml:space="preserve">Heritage requirements specific to leadlight and stained glass </w:t>
      </w:r>
    </w:p>
    <w:p w:rsidR="00000000" w:rsidRPr="00365225" w:rsidP="00365225">
      <w:pPr>
        <w:pStyle w:val="ListBullet"/>
      </w:pPr>
      <w:r w:rsidRPr="00365225">
        <w:t>Established communication channels and protocols</w:t>
      </w:r>
    </w:p>
    <w:p w:rsidR="00000000" w:rsidRPr="00365225" w:rsidP="00365225">
      <w:pPr>
        <w:pStyle w:val="ListBullet"/>
      </w:pPr>
      <w:r w:rsidRPr="00365225">
        <w:t xml:space="preserve">Relevant problem identification and resolution </w:t>
      </w:r>
      <w:r w:rsidRPr="00365225">
        <w:t>in the heritage leadlight and stained glass environment</w:t>
      </w:r>
    </w:p>
    <w:p w:rsidR="00000000" w:rsidRPr="00365225" w:rsidP="00365225">
      <w:pPr>
        <w:pStyle w:val="ListBullet"/>
      </w:pPr>
      <w:r w:rsidRPr="00365225">
        <w:t>Storage systems and labelling</w:t>
      </w:r>
    </w:p>
    <w:p w:rsidR="00000000" w:rsidRPr="00365225" w:rsidP="00365225">
      <w:pPr>
        <w:pStyle w:val="ListBullet"/>
      </w:pPr>
      <w:r w:rsidRPr="00365225">
        <w:t>Procedures for the recording, reporting and maintenance of workplace records and information</w:t>
      </w:r>
    </w:p>
    <w:p w:rsidR="00000000" w:rsidRPr="00365225" w:rsidP="00365225">
      <w:pPr>
        <w:pStyle w:val="ListBullet"/>
      </w:pPr>
      <w:r w:rsidRPr="00365225">
        <w:t>Appropriate mathematical procedures for estimation and measurement</w:t>
      </w:r>
    </w:p>
    <w:p w:rsidR="00000000" w:rsidRPr="00365225" w:rsidP="00365225">
      <w:pPr>
        <w:pStyle w:val="AllowPageBreak"/>
      </w:pPr>
    </w:p>
    <w:p w:rsidR="00000000" w:rsidRPr="00365225" w:rsidP="00365225">
      <w:pPr>
        <w:pStyle w:val="Heading1"/>
      </w:pPr>
      <w:bookmarkStart w:id="14" w:name="O_621521"/>
      <w:bookmarkEnd w:id="14"/>
      <w:r w:rsidRPr="00365225">
        <w:t>Assessment Conditions</w:t>
      </w:r>
    </w:p>
    <w:p w:rsidR="00000000" w:rsidRPr="00365225" w:rsidP="00365225">
      <w:pPr>
        <w:pStyle w:val="ListBullet"/>
      </w:pPr>
      <w:r w:rsidRPr="00365225">
        <w:t>Assessors must:</w:t>
      </w:r>
    </w:p>
    <w:p w:rsidR="00000000" w:rsidRPr="00365225" w:rsidP="00365225">
      <w:pPr>
        <w:pStyle w:val="ListBullet2"/>
      </w:pPr>
      <w:r w:rsidRPr="00365225">
        <w:t>hold training and assessment competencies as determined by the National Skills Standards Council (NSSC) or its successors</w:t>
      </w:r>
    </w:p>
    <w:p w:rsidR="00000000" w:rsidRPr="00365225" w:rsidP="00365225">
      <w:pPr>
        <w:pStyle w:val="ListBullet2"/>
      </w:pPr>
      <w:r w:rsidRPr="00365225">
        <w:t xml:space="preserve">have vocational competency in the furnishing industry at least to the level being assessed with broad industry knowledge and experience, usually combined with a relevant industry qualification </w:t>
      </w:r>
    </w:p>
    <w:p w:rsidR="00000000" w:rsidRPr="00365225" w:rsidP="00365225">
      <w:pPr>
        <w:pStyle w:val="ListBullet2"/>
      </w:pPr>
      <w:r w:rsidRPr="00365225">
        <w:t>be familiar with the current skills and knowledge used and hav</w:t>
      </w:r>
      <w:r w:rsidRPr="00365225">
        <w:t>e relevant, current experience in the furnishing industry.</w:t>
      </w:r>
    </w:p>
    <w:p w:rsidR="00000000" w:rsidRPr="00365225" w:rsidP="00365225">
      <w:pPr>
        <w:pStyle w:val="ListBullet"/>
      </w:pPr>
      <w:r w:rsidRPr="00365225">
        <w:t xml:space="preserve">Assessment methods must confirm consistency of performance over time rather than a single assessment event and in a range of workplace relevant contexts. </w:t>
      </w:r>
    </w:p>
    <w:p w:rsidR="00000000" w:rsidRPr="00365225" w:rsidP="00365225">
      <w:pPr>
        <w:pStyle w:val="ListBullet"/>
      </w:pPr>
      <w:r w:rsidRPr="00365225">
        <w:t>Assessment must be by observation of rele</w:t>
      </w:r>
      <w:r w:rsidRPr="00365225">
        <w:t xml:space="preserve">vant tasks with questioning on underpinning knowledge and, where applicable, multimedia evidence, supervisor’s reports, projects and work samples. </w:t>
      </w:r>
    </w:p>
    <w:p w:rsidR="00000000" w:rsidRPr="00365225" w:rsidP="00365225">
      <w:pPr>
        <w:pStyle w:val="ListBullet"/>
      </w:pPr>
      <w:r w:rsidRPr="00365225">
        <w:t>Assessment is to be conducted on single units of competency or in conjunction with other related units of co</w:t>
      </w:r>
      <w:r w:rsidRPr="00365225">
        <w:t>mpetency. Foundation skills are integral to competent performance in the unit and should not be assessed separately.</w:t>
      </w:r>
    </w:p>
    <w:p w:rsidR="00000000" w:rsidRPr="00365225" w:rsidP="00365225">
      <w:pPr>
        <w:pStyle w:val="ListBullet"/>
      </w:pPr>
      <w:r w:rsidRPr="00365225">
        <w:t>Assessment must occur on the job or in a workplace simulated facility with relevant process, equipment, materials, work instructions and de</w:t>
      </w:r>
      <w:r w:rsidRPr="00365225">
        <w:t>adlines.</w:t>
      </w:r>
    </w:p>
    <w:p w:rsidR="00000000" w:rsidRPr="00365225" w:rsidP="00365225">
      <w:pPr>
        <w:pStyle w:val="ListBullet"/>
      </w:pPr>
      <w:r w:rsidRPr="00365225">
        <w:t>Access is required to materials, equipment and specifications relevant to the assessment of leadlight and stained glass panels to meet conservation requirements.</w:t>
      </w:r>
    </w:p>
    <w:p w:rsidR="00000000" w:rsidRPr="00365225" w:rsidP="00365225">
      <w:pPr>
        <w:pStyle w:val="AllowPageBreak"/>
      </w:pPr>
    </w:p>
    <w:p w:rsidR="00000000" w:rsidRPr="00365225" w:rsidP="00365225">
      <w:pPr>
        <w:pStyle w:val="Heading1"/>
      </w:pPr>
      <w:bookmarkStart w:id="15" w:name="O_621519"/>
      <w:bookmarkEnd w:id="15"/>
      <w:r w:rsidRPr="00365225">
        <w:t>Links</w:t>
      </w:r>
    </w:p>
    <w:p w:rsidR="00000000" w:rsidRPr="00365225" w:rsidP="005A4C50">
      <w:pPr>
        <w:pStyle w:val="BodyText"/>
      </w:pPr>
      <w:r w:rsidRPr="0036522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228DA">
        <w:rPr>
          <w:rStyle w:val="Hyperlink"/>
        </w:rPr>
        <w:t>https://vetnet.gov.au/Pages/TrainingDocs.aspx?q=0601ab95-583a-4e93-b2d4-cfb27b03ed73</w:t>
      </w:r>
      <w:r>
        <w:fldChar w:fldCharType="end"/>
      </w:r>
    </w:p>
    <w:p w:rsidR="00000000" w:rsidRPr="00365225" w:rsidP="00365225"/>
    <w:sectPr w:rsidSect="003652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5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50" w:rsidP="00365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4C50" w:rsidP="003652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A4C50" w:rsidP="003652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225" w:rsidP="00365225">
    <w:pPr>
      <w:pStyle w:val="Footer"/>
      <w:framePr w:wrap="around"/>
    </w:pPr>
    <w:r>
      <w:fldChar w:fldCharType="begin"/>
    </w:r>
    <w:r>
      <w:instrText xml:space="preserve"> DOCPROPERTY  Subject  \* MERGEFORMAT </w:instrText>
    </w:r>
    <w:r>
      <w:fldChar w:fldCharType="separate"/>
    </w:r>
    <w:r w:rsidR="005A4C50">
      <w:t>Approved</w:t>
    </w:r>
    <w:r w:rsidR="005A4C50">
      <w:fldChar w:fldCharType="end"/>
    </w:r>
    <w:r>
      <w:tab/>
      <w:t xml:space="preserve">Page </w:t>
    </w:r>
    <w:r>
      <w:fldChar w:fldCharType="begin"/>
    </w:r>
    <w:r>
      <w:instrText xml:space="preserve"> PAGE  \* Arabic  \* MERGEFORMAT </w:instrText>
    </w:r>
    <w:r>
      <w:fldChar w:fldCharType="separate"/>
    </w:r>
    <w:r w:rsidR="005A4C5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4C50">
      <w:rPr>
        <w:noProof/>
      </w:rPr>
      <w:t>6</w:t>
    </w:r>
    <w:r>
      <w:rPr>
        <w:noProof/>
      </w:rPr>
      <w:fldChar w:fldCharType="end"/>
    </w:r>
  </w:p>
  <w:p w:rsidR="00365225" w:rsidP="00365225">
    <w:pPr>
      <w:pStyle w:val="Footer"/>
      <w:framePr w:wrap="around"/>
    </w:pPr>
    <w:r>
      <w:t xml:space="preserve">© Commonwealth of Australia, </w:t>
    </w:r>
    <w:r>
      <w:fldChar w:fldCharType="begin"/>
    </w:r>
    <w:r>
      <w:instrText xml:space="preserve"> DATE  \@ "yyyy"  \* MERGEFORMAT </w:instrText>
    </w:r>
    <w:r>
      <w:fldChar w:fldCharType="separate"/>
    </w:r>
    <w:r w:rsidR="005A4C50">
      <w:rPr>
        <w:noProof/>
      </w:rPr>
      <w:t>2025</w:t>
    </w:r>
    <w:r>
      <w:fldChar w:fldCharType="end"/>
    </w:r>
    <w:r>
      <w:tab/>
    </w:r>
    <w:r>
      <w:fldChar w:fldCharType="begin"/>
    </w:r>
    <w:r>
      <w:instrText xml:space="preserve"> DOCPROPERTY  Author  \* MERGEFORMAT </w:instrText>
    </w:r>
    <w:r>
      <w:fldChar w:fldCharType="separate"/>
    </w:r>
    <w:r w:rsidR="005A4C50">
      <w:t>Skills Insight</w:t>
    </w:r>
    <w:r w:rsidR="005A4C50">
      <w:fldChar w:fldCharType="end"/>
    </w:r>
  </w:p>
  <w:p w:rsidR="00365225" w:rsidP="003652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5225" w:rsidRPr="005A4C50" w:rsidP="005A4C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50" w:rsidRPr="002D2AF8" w:rsidP="00365225">
    <w:pPr>
      <w:pStyle w:val="Header"/>
      <w:framePr w:wrap="around"/>
    </w:pPr>
    <w:r>
      <w:fldChar w:fldCharType="begin"/>
    </w:r>
    <w:r>
      <w:instrText xml:space="preserve"> TITLE   \* MERGEFORMAT </w:instrText>
    </w:r>
    <w:r>
      <w:fldChar w:fldCharType="separate"/>
    </w:r>
    <w:r>
      <w:t>MSFSL5001 Assess conservation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4C50" w:rsidP="003652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225" w:rsidRPr="002D2AF8" w:rsidP="00365225">
    <w:pPr>
      <w:pStyle w:val="Header"/>
      <w:framePr w:wrap="around"/>
    </w:pPr>
    <w:r>
      <w:fldChar w:fldCharType="begin"/>
    </w:r>
    <w:r>
      <w:instrText xml:space="preserve"> TITLE   \* MERGEFORMAT </w:instrText>
    </w:r>
    <w:r>
      <w:fldChar w:fldCharType="separate"/>
    </w:r>
    <w:r w:rsidR="005A4C50">
      <w:t>MSFSL5001 Assess conservation requirements</w:t>
    </w:r>
    <w:r w:rsidR="005A4C50">
      <w:fldChar w:fldCharType="end"/>
    </w:r>
    <w:r>
      <w:tab/>
      <w:t xml:space="preserve">Date this document was generated: </w:t>
    </w:r>
    <w:r>
      <w:fldChar w:fldCharType="begin"/>
    </w:r>
    <w:r>
      <w:instrText xml:space="preserve"> CREATEDATE  \@ "d MMMM yyyy"  \* MERGEFORMAT </w:instrText>
    </w:r>
    <w:r>
      <w:fldChar w:fldCharType="separate"/>
    </w:r>
    <w:r w:rsidR="005A4C50">
      <w:rPr>
        <w:noProof/>
      </w:rPr>
      <w:t>2 March 2025</w:t>
    </w:r>
    <w:r>
      <w:fldChar w:fldCharType="end"/>
    </w:r>
  </w:p>
  <w:p w:rsidR="00365225" w:rsidP="003652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38A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4D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1C3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2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225"/>
    <w:pPr>
      <w:spacing w:before="360" w:after="60"/>
      <w:outlineLvl w:val="0"/>
    </w:pPr>
    <w:rPr>
      <w:sz w:val="32"/>
    </w:rPr>
  </w:style>
  <w:style w:type="paragraph" w:styleId="Heading2">
    <w:name w:val="heading 2"/>
    <w:basedOn w:val="HeadingBase"/>
    <w:next w:val="BodyText"/>
    <w:link w:val="Heading2Char"/>
    <w:qFormat/>
    <w:rsid w:val="00365225"/>
    <w:pPr>
      <w:keepLines/>
      <w:spacing w:before="240" w:after="120"/>
      <w:outlineLvl w:val="1"/>
    </w:pPr>
    <w:rPr>
      <w:sz w:val="28"/>
      <w:szCs w:val="40"/>
    </w:rPr>
  </w:style>
  <w:style w:type="paragraph" w:styleId="Heading3">
    <w:name w:val="heading 3"/>
    <w:basedOn w:val="HeadingBase"/>
    <w:next w:val="BodyText"/>
    <w:link w:val="Heading3Char"/>
    <w:qFormat/>
    <w:rsid w:val="00365225"/>
    <w:pPr>
      <w:spacing w:before="180" w:after="120"/>
      <w:outlineLvl w:val="2"/>
    </w:pPr>
    <w:rPr>
      <w:spacing w:val="-10"/>
      <w:kern w:val="32"/>
    </w:rPr>
  </w:style>
  <w:style w:type="paragraph" w:styleId="Heading4">
    <w:name w:val="heading 4"/>
    <w:basedOn w:val="HeadingBase"/>
    <w:next w:val="BodyText"/>
    <w:link w:val="Heading4Char"/>
    <w:qFormat/>
    <w:rsid w:val="00365225"/>
    <w:pPr>
      <w:spacing w:before="160" w:after="120"/>
      <w:outlineLvl w:val="3"/>
    </w:pPr>
    <w:rPr>
      <w:sz w:val="22"/>
    </w:rPr>
  </w:style>
  <w:style w:type="paragraph" w:styleId="Heading5">
    <w:name w:val="heading 5"/>
    <w:basedOn w:val="HeadingBase"/>
    <w:next w:val="Normal"/>
    <w:link w:val="Heading5Char"/>
    <w:qFormat/>
    <w:rsid w:val="00365225"/>
    <w:pPr>
      <w:spacing w:before="80"/>
      <w:outlineLvl w:val="4"/>
    </w:pPr>
    <w:rPr>
      <w:color w:val="918585"/>
      <w:sz w:val="20"/>
    </w:rPr>
  </w:style>
  <w:style w:type="paragraph" w:styleId="Heading6">
    <w:name w:val="heading 6"/>
    <w:basedOn w:val="HeadingBase"/>
    <w:next w:val="Normal"/>
    <w:link w:val="Heading6Char"/>
    <w:qFormat/>
    <w:rsid w:val="00365225"/>
    <w:pPr>
      <w:spacing w:before="60"/>
      <w:outlineLvl w:val="5"/>
    </w:pPr>
    <w:rPr>
      <w:color w:val="918585"/>
      <w:sz w:val="20"/>
    </w:rPr>
  </w:style>
  <w:style w:type="paragraph" w:styleId="Heading7">
    <w:name w:val="heading 7"/>
    <w:basedOn w:val="Normal"/>
    <w:next w:val="Normal"/>
    <w:link w:val="Heading7Char"/>
    <w:qFormat/>
    <w:rsid w:val="00365225"/>
    <w:pPr>
      <w:ind w:left="720"/>
      <w:outlineLvl w:val="6"/>
    </w:pPr>
    <w:rPr>
      <w:i/>
    </w:rPr>
  </w:style>
  <w:style w:type="paragraph" w:styleId="Heading8">
    <w:name w:val="heading 8"/>
    <w:basedOn w:val="Normal"/>
    <w:next w:val="Normal"/>
    <w:link w:val="Heading8Char"/>
    <w:qFormat/>
    <w:rsid w:val="00365225"/>
    <w:pPr>
      <w:ind w:left="720"/>
      <w:outlineLvl w:val="7"/>
    </w:pPr>
    <w:rPr>
      <w:i/>
    </w:rPr>
  </w:style>
  <w:style w:type="paragraph" w:styleId="Heading9">
    <w:name w:val="heading 9"/>
    <w:basedOn w:val="Normal"/>
    <w:next w:val="Normal"/>
    <w:link w:val="Heading9Char"/>
    <w:qFormat/>
    <w:rsid w:val="00365225"/>
    <w:pPr>
      <w:ind w:left="720"/>
      <w:outlineLvl w:val="8"/>
    </w:pPr>
    <w:rPr>
      <w:i/>
    </w:rPr>
  </w:style>
  <w:style w:type="character" w:default="1" w:styleId="DefaultParagraphFont">
    <w:name w:val="Default Paragraph Font"/>
    <w:uiPriority w:val="1"/>
    <w:unhideWhenUsed/>
    <w:rsid w:val="00365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225"/>
  </w:style>
  <w:style w:type="character" w:customStyle="1" w:styleId="Heading1Char">
    <w:name w:val="Heading 1 Char"/>
    <w:basedOn w:val="DefaultParagraphFont"/>
    <w:link w:val="Heading1"/>
    <w:rsid w:val="00365225"/>
    <w:rPr>
      <w:rFonts w:ascii="Times New Roman" w:eastAsia="Times New Roman" w:hAnsi="Times New Roman" w:cs="Times New Roman"/>
      <w:b/>
      <w:sz w:val="32"/>
      <w:szCs w:val="20"/>
      <w:lang w:eastAsia="en-US"/>
    </w:rPr>
  </w:style>
  <w:style w:type="paragraph" w:styleId="BodyText">
    <w:name w:val="Body Text"/>
    <w:basedOn w:val="Normal"/>
    <w:link w:val="BodyTextChar"/>
    <w:rsid w:val="003652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5225"/>
    <w:rPr>
      <w:rFonts w:ascii="Times New Roman" w:eastAsia="Times New Roman" w:hAnsi="Times New Roman" w:cs="Times New Roman"/>
      <w:sz w:val="24"/>
      <w:lang w:eastAsia="en-US"/>
    </w:rPr>
  </w:style>
  <w:style w:type="paragraph" w:styleId="ListBullet">
    <w:name w:val="List Bullet"/>
    <w:basedOn w:val="List"/>
    <w:rsid w:val="00365225"/>
    <w:pPr>
      <w:numPr>
        <w:numId w:val="12"/>
      </w:numPr>
      <w:tabs>
        <w:tab w:val="clear" w:pos="340"/>
      </w:tabs>
      <w:spacing w:before="40" w:after="40"/>
    </w:pPr>
  </w:style>
  <w:style w:type="character" w:customStyle="1" w:styleId="SpecialBold">
    <w:name w:val="Special Bold"/>
    <w:basedOn w:val="DefaultParagraphFont"/>
    <w:rsid w:val="00365225"/>
    <w:rPr>
      <w:b/>
      <w:spacing w:val="0"/>
    </w:rPr>
  </w:style>
  <w:style w:type="paragraph" w:styleId="ListBullet2">
    <w:name w:val="List Bullet 2"/>
    <w:basedOn w:val="List2"/>
    <w:rsid w:val="00365225"/>
    <w:pPr>
      <w:numPr>
        <w:numId w:val="13"/>
      </w:numPr>
      <w:tabs>
        <w:tab w:val="clear" w:pos="680"/>
      </w:tabs>
    </w:pPr>
  </w:style>
  <w:style w:type="character" w:styleId="Emphasis">
    <w:name w:val="Emphasis"/>
    <w:basedOn w:val="DefaultParagraphFont"/>
    <w:qFormat/>
    <w:rsid w:val="00365225"/>
    <w:rPr>
      <w:i/>
    </w:rPr>
  </w:style>
  <w:style w:type="paragraph" w:customStyle="1" w:styleId="SuperHeading">
    <w:name w:val="SuperHeading"/>
    <w:basedOn w:val="Normal"/>
    <w:rsid w:val="00365225"/>
    <w:pPr>
      <w:spacing w:before="240" w:after="120"/>
      <w:outlineLvl w:val="0"/>
    </w:pPr>
    <w:rPr>
      <w:rFonts w:ascii="Times New Roman" w:hAnsi="Times New Roman"/>
      <w:b/>
      <w:sz w:val="32"/>
    </w:rPr>
  </w:style>
  <w:style w:type="paragraph" w:customStyle="1" w:styleId="AllowPageBreak">
    <w:name w:val="AllowPageBreak"/>
    <w:rsid w:val="003652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5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2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2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225"/>
    <w:rPr>
      <w:rFonts w:ascii="Courier New" w:eastAsia="Times New Roman" w:hAnsi="Courier New" w:cs="Times New Roman"/>
      <w:i/>
      <w:szCs w:val="20"/>
      <w:lang w:eastAsia="en-US"/>
    </w:rPr>
  </w:style>
  <w:style w:type="paragraph" w:customStyle="1" w:styleId="HeadingBase">
    <w:name w:val="Heading Base"/>
    <w:rsid w:val="00365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225"/>
    <w:pPr>
      <w:tabs>
        <w:tab w:val="right" w:leader="dot" w:pos="9072"/>
      </w:tabs>
      <w:ind w:left="567"/>
    </w:pPr>
    <w:rPr>
      <w:szCs w:val="22"/>
    </w:rPr>
  </w:style>
  <w:style w:type="paragraph" w:customStyle="1" w:styleId="TOCBase">
    <w:name w:val="TOC Base"/>
    <w:rsid w:val="00365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225"/>
    <w:pPr>
      <w:tabs>
        <w:tab w:val="right" w:leader="dot" w:pos="9072"/>
      </w:tabs>
      <w:spacing w:before="40" w:after="40"/>
      <w:ind w:left="284"/>
    </w:pPr>
    <w:rPr>
      <w:rFonts w:ascii="Times New Roman" w:hAnsi="Times New Roman"/>
    </w:rPr>
  </w:style>
  <w:style w:type="paragraph" w:styleId="TOC1">
    <w:name w:val="toc 1"/>
    <w:basedOn w:val="TOCBase"/>
    <w:next w:val="Normal"/>
    <w:rsid w:val="003652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225"/>
    <w:rPr>
      <w:rFonts w:ascii="Times New Roman" w:eastAsia="Times New Roman" w:hAnsi="Times New Roman" w:cs="Times New Roman"/>
      <w:sz w:val="16"/>
      <w:lang w:eastAsia="en-US"/>
    </w:rPr>
  </w:style>
  <w:style w:type="paragraph" w:styleId="Title">
    <w:name w:val="Title"/>
    <w:basedOn w:val="HeadingBase"/>
    <w:link w:val="TitleChar"/>
    <w:qFormat/>
    <w:rsid w:val="00365225"/>
    <w:pPr>
      <w:spacing w:before="5040"/>
      <w:jc w:val="center"/>
    </w:pPr>
    <w:rPr>
      <w:sz w:val="48"/>
      <w:szCs w:val="72"/>
      <w:lang w:val="en-US"/>
    </w:rPr>
  </w:style>
  <w:style w:type="character" w:customStyle="1" w:styleId="TitleChar">
    <w:name w:val="Title Char"/>
    <w:basedOn w:val="DefaultParagraphFont"/>
    <w:link w:val="Title"/>
    <w:rsid w:val="00365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225"/>
    <w:pPr>
      <w:tabs>
        <w:tab w:val="left" w:pos="3600"/>
        <w:tab w:val="left" w:pos="3958"/>
      </w:tabs>
    </w:pPr>
  </w:style>
  <w:style w:type="paragraph" w:styleId="List">
    <w:name w:val="List"/>
    <w:basedOn w:val="BodyText"/>
    <w:next w:val="BodyText"/>
    <w:rsid w:val="00365225"/>
    <w:pPr>
      <w:tabs>
        <w:tab w:val="left" w:pos="340"/>
      </w:tabs>
      <w:spacing w:before="60" w:after="60"/>
      <w:ind w:left="340" w:hanging="340"/>
    </w:pPr>
  </w:style>
  <w:style w:type="paragraph" w:customStyle="1" w:styleId="Note">
    <w:name w:val="Note"/>
    <w:basedOn w:val="BodyText"/>
    <w:rsid w:val="00365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225"/>
    <w:pPr>
      <w:framePr w:wrap="auto" w:hAnchor="text" w:y="6049"/>
    </w:pPr>
    <w:rPr>
      <w:color w:val="000000"/>
      <w:sz w:val="40"/>
    </w:rPr>
  </w:style>
  <w:style w:type="paragraph" w:customStyle="1" w:styleId="TOCTitle">
    <w:name w:val="TOCTitle"/>
    <w:basedOn w:val="Heading1"/>
    <w:rsid w:val="00365225"/>
    <w:pPr>
      <w:spacing w:after="240"/>
      <w:jc w:val="center"/>
      <w:outlineLvl w:val="9"/>
    </w:pPr>
    <w:rPr>
      <w:caps/>
    </w:rPr>
  </w:style>
  <w:style w:type="paragraph" w:customStyle="1" w:styleId="Version">
    <w:name w:val="Version"/>
    <w:rsid w:val="003652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225"/>
    <w:pPr>
      <w:keepNext w:val="0"/>
      <w:tabs>
        <w:tab w:val="right" w:pos="4176"/>
      </w:tabs>
      <w:ind w:left="198" w:hanging="198"/>
    </w:pPr>
    <w:rPr>
      <w:rFonts w:ascii="Garamond" w:hAnsi="Garamond"/>
    </w:rPr>
  </w:style>
  <w:style w:type="paragraph" w:styleId="IndexHeading">
    <w:name w:val="index heading"/>
    <w:basedOn w:val="Normal"/>
    <w:next w:val="Index1"/>
    <w:semiHidden/>
    <w:rsid w:val="00365225"/>
    <w:pPr>
      <w:spacing w:before="120" w:after="120"/>
    </w:pPr>
    <w:rPr>
      <w:rFonts w:ascii="Arial" w:hAnsi="Arial"/>
      <w:b/>
      <w:color w:val="918585"/>
      <w:sz w:val="24"/>
    </w:rPr>
  </w:style>
  <w:style w:type="paragraph" w:styleId="Header">
    <w:name w:val="header"/>
    <w:basedOn w:val="Normal"/>
    <w:link w:val="HeaderChar"/>
    <w:rsid w:val="00365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225"/>
    <w:rPr>
      <w:rFonts w:ascii="Times New Roman" w:eastAsia="Times New Roman" w:hAnsi="Times New Roman" w:cs="Times New Roman"/>
      <w:sz w:val="16"/>
      <w:szCs w:val="20"/>
      <w:lang w:val="en-GB" w:eastAsia="en-US"/>
    </w:rPr>
  </w:style>
  <w:style w:type="paragraph" w:customStyle="1" w:styleId="Chapter">
    <w:name w:val="Chapter"/>
    <w:basedOn w:val="Normal"/>
    <w:rsid w:val="00365225"/>
    <w:pPr>
      <w:spacing w:before="240"/>
    </w:pPr>
    <w:rPr>
      <w:rFonts w:ascii="Times New Roman" w:hAnsi="Times New Roman"/>
      <w:smallCaps/>
      <w:spacing w:val="80"/>
      <w:sz w:val="28"/>
    </w:rPr>
  </w:style>
  <w:style w:type="paragraph" w:customStyle="1" w:styleId="InChapter">
    <w:name w:val="InChapter"/>
    <w:basedOn w:val="Heading3"/>
    <w:rsid w:val="00365225"/>
    <w:pPr>
      <w:spacing w:after="240"/>
      <w:outlineLvl w:val="9"/>
    </w:pPr>
    <w:rPr>
      <w:noProof/>
    </w:rPr>
  </w:style>
  <w:style w:type="paragraph" w:styleId="Index2">
    <w:name w:val="index 2"/>
    <w:basedOn w:val="Normal"/>
    <w:next w:val="Normal"/>
    <w:semiHidden/>
    <w:rsid w:val="00365225"/>
    <w:pPr>
      <w:tabs>
        <w:tab w:val="right" w:pos="4176"/>
      </w:tabs>
      <w:ind w:left="568" w:hanging="284"/>
    </w:pPr>
    <w:rPr>
      <w:rFonts w:ascii="Garamond" w:hAnsi="Garamond"/>
    </w:rPr>
  </w:style>
  <w:style w:type="paragraph" w:customStyle="1" w:styleId="Byline">
    <w:name w:val="Byline"/>
    <w:rsid w:val="00365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225"/>
    <w:pPr>
      <w:tabs>
        <w:tab w:val="clear" w:pos="3600"/>
        <w:tab w:val="clear" w:pos="3958"/>
      </w:tabs>
      <w:jc w:val="right"/>
    </w:pPr>
  </w:style>
  <w:style w:type="paragraph" w:styleId="Caption">
    <w:name w:val="caption"/>
    <w:basedOn w:val="BodyText"/>
    <w:next w:val="Normal"/>
    <w:qFormat/>
    <w:rsid w:val="00365225"/>
    <w:pPr>
      <w:framePr w:w="2268" w:hSpace="181" w:vSpace="181" w:wrap="around" w:vAnchor="text" w:hAnchor="page" w:x="1135" w:y="285" w:anchorLock="1"/>
    </w:pPr>
    <w:rPr>
      <w:i/>
    </w:rPr>
  </w:style>
  <w:style w:type="paragraph" w:customStyle="1" w:styleId="MiniTOCTitle">
    <w:name w:val="MiniTOCTitle"/>
    <w:basedOn w:val="Heading4"/>
    <w:rsid w:val="00365225"/>
    <w:pPr>
      <w:spacing w:before="240"/>
      <w:outlineLvl w:val="9"/>
    </w:pPr>
    <w:rPr>
      <w:noProof/>
      <w:sz w:val="24"/>
    </w:rPr>
  </w:style>
  <w:style w:type="paragraph" w:customStyle="1" w:styleId="MiniTOCItem">
    <w:name w:val="MiniTOCItem"/>
    <w:basedOn w:val="ListBullet"/>
    <w:rsid w:val="00365225"/>
    <w:pPr>
      <w:numPr>
        <w:numId w:val="0"/>
      </w:numPr>
      <w:tabs>
        <w:tab w:val="right" w:leader="dot" w:pos="6521"/>
      </w:tabs>
      <w:spacing w:before="0" w:after="0"/>
    </w:pPr>
  </w:style>
  <w:style w:type="paragraph" w:customStyle="1" w:styleId="TOFTitle">
    <w:name w:val="TOFTitle"/>
    <w:basedOn w:val="TOCTitle"/>
    <w:rsid w:val="00365225"/>
  </w:style>
  <w:style w:type="paragraph" w:styleId="TableofFigures">
    <w:name w:val="table of figures"/>
    <w:basedOn w:val="Normal"/>
    <w:next w:val="Normal"/>
    <w:semiHidden/>
    <w:rsid w:val="00365225"/>
    <w:pPr>
      <w:tabs>
        <w:tab w:val="right" w:leader="dot" w:pos="9072"/>
      </w:tabs>
      <w:ind w:left="970" w:hanging="403"/>
    </w:pPr>
    <w:rPr>
      <w:rFonts w:ascii="Times New Roman" w:hAnsi="Times New Roman"/>
      <w:b/>
    </w:rPr>
  </w:style>
  <w:style w:type="paragraph" w:styleId="ListNumber">
    <w:name w:val="List Number"/>
    <w:basedOn w:val="List"/>
    <w:rsid w:val="00365225"/>
    <w:pPr>
      <w:numPr>
        <w:numId w:val="15"/>
      </w:numPr>
      <w:tabs>
        <w:tab w:val="clear" w:pos="340"/>
      </w:tabs>
    </w:pPr>
  </w:style>
  <w:style w:type="character" w:customStyle="1" w:styleId="WingdingSymbols">
    <w:name w:val="Wingding Symbols"/>
    <w:rsid w:val="00365225"/>
    <w:rPr>
      <w:rFonts w:ascii="Wingdings" w:hAnsi="Wingdings"/>
    </w:rPr>
  </w:style>
  <w:style w:type="paragraph" w:customStyle="1" w:styleId="TableHeading">
    <w:name w:val="Table Heading"/>
    <w:basedOn w:val="HeadingBase"/>
    <w:rsid w:val="00365225"/>
    <w:pPr>
      <w:keepLines/>
      <w:pBdr>
        <w:bottom w:val="single" w:sz="6" w:space="1" w:color="918585"/>
      </w:pBdr>
      <w:spacing w:before="240"/>
    </w:pPr>
  </w:style>
  <w:style w:type="character" w:customStyle="1" w:styleId="HotSpot">
    <w:name w:val="HotSpot"/>
    <w:rsid w:val="00365225"/>
    <w:rPr>
      <w:color w:val="0033CC"/>
      <w:u w:val="none"/>
    </w:rPr>
  </w:style>
  <w:style w:type="paragraph" w:customStyle="1" w:styleId="BodyTextRight">
    <w:name w:val="Body Text Right"/>
    <w:basedOn w:val="BodyText"/>
    <w:rsid w:val="00365225"/>
    <w:pPr>
      <w:spacing w:before="0" w:after="0"/>
      <w:jc w:val="right"/>
    </w:pPr>
  </w:style>
  <w:style w:type="paragraph" w:styleId="Index3">
    <w:name w:val="index 3"/>
    <w:basedOn w:val="ListNumber2"/>
    <w:next w:val="Normal"/>
    <w:semiHidden/>
    <w:rsid w:val="00365225"/>
    <w:pPr>
      <w:numPr>
        <w:numId w:val="0"/>
      </w:numPr>
      <w:tabs>
        <w:tab w:val="right" w:leader="dot" w:pos="4176"/>
      </w:tabs>
    </w:pPr>
  </w:style>
  <w:style w:type="paragraph" w:styleId="ListNumber2">
    <w:name w:val="List Number 2"/>
    <w:basedOn w:val="List2"/>
    <w:rsid w:val="00365225"/>
    <w:pPr>
      <w:numPr>
        <w:numId w:val="10"/>
      </w:numPr>
      <w:tabs>
        <w:tab w:val="clear" w:pos="1060"/>
      </w:tabs>
    </w:pPr>
  </w:style>
  <w:style w:type="paragraph" w:customStyle="1" w:styleId="MarginNote">
    <w:name w:val="Margin Note"/>
    <w:basedOn w:val="BodyText"/>
    <w:rsid w:val="00365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2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225"/>
    <w:rPr>
      <w:sz w:val="32"/>
    </w:rPr>
  </w:style>
  <w:style w:type="paragraph" w:customStyle="1" w:styleId="HeadingProcedure">
    <w:name w:val="Heading Procedure"/>
    <w:basedOn w:val="HeadingBase"/>
    <w:next w:val="Normal"/>
    <w:rsid w:val="00365225"/>
    <w:pPr>
      <w:tabs>
        <w:tab w:val="left" w:pos="0"/>
      </w:tabs>
      <w:spacing w:before="120" w:after="60"/>
    </w:pPr>
    <w:rPr>
      <w:i/>
      <w:color w:val="918585"/>
      <w:sz w:val="22"/>
    </w:rPr>
  </w:style>
  <w:style w:type="paragraph" w:customStyle="1" w:styleId="TableBodyText">
    <w:name w:val="Table Body Text"/>
    <w:basedOn w:val="BodyText"/>
    <w:rsid w:val="00365225"/>
    <w:pPr>
      <w:spacing w:before="60" w:after="60"/>
    </w:pPr>
  </w:style>
  <w:style w:type="paragraph" w:styleId="ListContinue">
    <w:name w:val="List Continue"/>
    <w:basedOn w:val="List"/>
    <w:rsid w:val="00365225"/>
    <w:pPr>
      <w:ind w:firstLine="0"/>
    </w:pPr>
  </w:style>
  <w:style w:type="paragraph" w:customStyle="1" w:styleId="ListNote">
    <w:name w:val="List Note"/>
    <w:basedOn w:val="List"/>
    <w:rsid w:val="00365225"/>
    <w:pPr>
      <w:pBdr>
        <w:top w:val="single" w:sz="6" w:space="2" w:color="918585"/>
        <w:bottom w:val="single" w:sz="6" w:space="2" w:color="918585"/>
      </w:pBdr>
      <w:tabs>
        <w:tab w:val="left" w:pos="1021"/>
      </w:tabs>
      <w:ind w:firstLine="0"/>
    </w:pPr>
  </w:style>
  <w:style w:type="paragraph" w:customStyle="1" w:styleId="Warning">
    <w:name w:val="Warning"/>
    <w:basedOn w:val="BodyText"/>
    <w:rsid w:val="00365225"/>
    <w:pPr>
      <w:shd w:val="clear" w:color="auto" w:fill="D9D9D9"/>
      <w:tabs>
        <w:tab w:val="left" w:pos="992"/>
      </w:tabs>
      <w:ind w:left="119" w:right="119"/>
    </w:pPr>
    <w:rPr>
      <w:sz w:val="20"/>
    </w:rPr>
  </w:style>
  <w:style w:type="paragraph" w:customStyle="1" w:styleId="MarginIcons">
    <w:name w:val="Margin Icons"/>
    <w:basedOn w:val="BodyText"/>
    <w:rsid w:val="00365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225"/>
    <w:rPr>
      <w:rFonts w:ascii="Courier New" w:hAnsi="Courier New"/>
    </w:rPr>
  </w:style>
  <w:style w:type="paragraph" w:customStyle="1" w:styleId="NoteBullet">
    <w:name w:val="Note Bullet"/>
    <w:basedOn w:val="Note"/>
    <w:rsid w:val="00365225"/>
    <w:pPr>
      <w:tabs>
        <w:tab w:val="clear" w:pos="680"/>
      </w:tabs>
      <w:spacing w:before="60" w:after="60"/>
    </w:pPr>
  </w:style>
  <w:style w:type="paragraph" w:customStyle="1" w:styleId="SubHeading2">
    <w:name w:val="SubHeading2"/>
    <w:basedOn w:val="HeadingBase"/>
    <w:rsid w:val="00365225"/>
    <w:pPr>
      <w:spacing w:before="240" w:after="60"/>
    </w:pPr>
    <w:rPr>
      <w:sz w:val="20"/>
    </w:rPr>
  </w:style>
  <w:style w:type="paragraph" w:customStyle="1" w:styleId="SubHeading1">
    <w:name w:val="SubHeading1"/>
    <w:basedOn w:val="HeadingBase"/>
    <w:rsid w:val="00365225"/>
    <w:pPr>
      <w:spacing w:before="240" w:after="60"/>
    </w:pPr>
    <w:rPr>
      <w:color w:val="918585"/>
      <w:sz w:val="22"/>
    </w:rPr>
  </w:style>
  <w:style w:type="paragraph" w:customStyle="1" w:styleId="SideHeading">
    <w:name w:val="Side Heading"/>
    <w:basedOn w:val="HeadingBase"/>
    <w:rsid w:val="00365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225"/>
    <w:pPr>
      <w:tabs>
        <w:tab w:val="num" w:pos="360"/>
      </w:tabs>
    </w:pPr>
  </w:style>
  <w:style w:type="paragraph" w:styleId="PlainText">
    <w:name w:val="Plain Text"/>
    <w:basedOn w:val="Normal"/>
    <w:link w:val="PlainTextChar"/>
    <w:rsid w:val="00365225"/>
    <w:rPr>
      <w:sz w:val="20"/>
    </w:rPr>
  </w:style>
  <w:style w:type="character" w:customStyle="1" w:styleId="PlainTextChar">
    <w:name w:val="Plain Text Char"/>
    <w:basedOn w:val="DefaultParagraphFont"/>
    <w:link w:val="PlainText"/>
    <w:rsid w:val="00365225"/>
    <w:rPr>
      <w:rFonts w:ascii="Courier New" w:eastAsia="Times New Roman" w:hAnsi="Courier New" w:cs="Times New Roman"/>
      <w:sz w:val="20"/>
      <w:szCs w:val="20"/>
      <w:lang w:eastAsia="en-US"/>
    </w:rPr>
  </w:style>
  <w:style w:type="character" w:customStyle="1" w:styleId="MenuOption">
    <w:name w:val="Menu Option"/>
    <w:basedOn w:val="DefaultParagraphFont"/>
    <w:rsid w:val="00365225"/>
    <w:rPr>
      <w:b/>
      <w:smallCaps/>
    </w:rPr>
  </w:style>
  <w:style w:type="paragraph" w:customStyle="1" w:styleId="TableListNumber">
    <w:name w:val="Table List Number"/>
    <w:basedOn w:val="ListNumber"/>
    <w:rsid w:val="00365225"/>
    <w:pPr>
      <w:numPr>
        <w:numId w:val="0"/>
      </w:numPr>
    </w:pPr>
  </w:style>
  <w:style w:type="paragraph" w:styleId="TOC4">
    <w:name w:val="toc 4"/>
    <w:basedOn w:val="TOCBase"/>
    <w:next w:val="Normal"/>
    <w:semiHidden/>
    <w:rsid w:val="00365225"/>
    <w:pPr>
      <w:tabs>
        <w:tab w:val="right" w:leader="dot" w:pos="9071"/>
      </w:tabs>
      <w:ind w:left="1701"/>
    </w:pPr>
  </w:style>
  <w:style w:type="paragraph" w:customStyle="1" w:styleId="ListAlpha">
    <w:name w:val="List Alpha"/>
    <w:basedOn w:val="List"/>
    <w:rsid w:val="00365225"/>
    <w:pPr>
      <w:numPr>
        <w:numId w:val="9"/>
      </w:numPr>
    </w:pPr>
  </w:style>
  <w:style w:type="paragraph" w:customStyle="1" w:styleId="ListAlpha2">
    <w:name w:val="List Alpha 2"/>
    <w:basedOn w:val="List2"/>
    <w:rsid w:val="00365225"/>
    <w:pPr>
      <w:numPr>
        <w:numId w:val="8"/>
      </w:numPr>
    </w:pPr>
  </w:style>
  <w:style w:type="paragraph" w:styleId="List2">
    <w:name w:val="List 2"/>
    <w:basedOn w:val="BodyText"/>
    <w:rsid w:val="00365225"/>
    <w:pPr>
      <w:tabs>
        <w:tab w:val="left" w:pos="680"/>
      </w:tabs>
      <w:spacing w:before="60" w:after="60"/>
      <w:ind w:left="680" w:hanging="340"/>
    </w:pPr>
  </w:style>
  <w:style w:type="paragraph" w:styleId="List3">
    <w:name w:val="List 3"/>
    <w:basedOn w:val="BodyText"/>
    <w:rsid w:val="00365225"/>
    <w:pPr>
      <w:tabs>
        <w:tab w:val="left" w:pos="1021"/>
      </w:tabs>
      <w:spacing w:before="60" w:after="60"/>
      <w:ind w:left="1020" w:hanging="340"/>
    </w:pPr>
  </w:style>
  <w:style w:type="paragraph" w:styleId="List4">
    <w:name w:val="List 4"/>
    <w:basedOn w:val="BodyText"/>
    <w:rsid w:val="00365225"/>
    <w:pPr>
      <w:tabs>
        <w:tab w:val="left" w:pos="1361"/>
      </w:tabs>
      <w:spacing w:before="60" w:after="60"/>
      <w:ind w:left="1361" w:hanging="340"/>
    </w:pPr>
  </w:style>
  <w:style w:type="paragraph" w:styleId="List5">
    <w:name w:val="List 5"/>
    <w:basedOn w:val="BodyText"/>
    <w:rsid w:val="00365225"/>
    <w:pPr>
      <w:tabs>
        <w:tab w:val="left" w:pos="1701"/>
      </w:tabs>
      <w:spacing w:before="60" w:after="60"/>
      <w:ind w:left="1701" w:hanging="340"/>
    </w:pPr>
  </w:style>
  <w:style w:type="paragraph" w:styleId="ListBullet3">
    <w:name w:val="List Bullet 3"/>
    <w:basedOn w:val="List3"/>
    <w:rsid w:val="00365225"/>
    <w:pPr>
      <w:numPr>
        <w:numId w:val="14"/>
      </w:numPr>
      <w:tabs>
        <w:tab w:val="clear" w:pos="1021"/>
      </w:tabs>
      <w:ind w:left="1037" w:hanging="357"/>
    </w:pPr>
  </w:style>
  <w:style w:type="paragraph" w:styleId="ListBullet4">
    <w:name w:val="List Bullet 4"/>
    <w:basedOn w:val="List4"/>
    <w:rsid w:val="00365225"/>
    <w:pPr>
      <w:numPr>
        <w:numId w:val="3"/>
      </w:numPr>
      <w:tabs>
        <w:tab w:val="clear" w:pos="1361"/>
      </w:tabs>
    </w:pPr>
  </w:style>
  <w:style w:type="paragraph" w:styleId="ListBullet5">
    <w:name w:val="List Bullet 5"/>
    <w:basedOn w:val="List5"/>
    <w:rsid w:val="00365225"/>
    <w:pPr>
      <w:numPr>
        <w:numId w:val="4"/>
      </w:numPr>
    </w:pPr>
  </w:style>
  <w:style w:type="paragraph" w:styleId="ListContinue2">
    <w:name w:val="List Continue 2"/>
    <w:basedOn w:val="List2"/>
    <w:rsid w:val="00365225"/>
    <w:pPr>
      <w:ind w:firstLine="0"/>
    </w:pPr>
  </w:style>
  <w:style w:type="paragraph" w:styleId="ListContinue3">
    <w:name w:val="List Continue 3"/>
    <w:basedOn w:val="List3"/>
    <w:rsid w:val="00365225"/>
    <w:pPr>
      <w:ind w:left="1021" w:firstLine="0"/>
    </w:pPr>
  </w:style>
  <w:style w:type="paragraph" w:styleId="ListContinue4">
    <w:name w:val="List Continue 4"/>
    <w:basedOn w:val="List4"/>
    <w:rsid w:val="00365225"/>
    <w:pPr>
      <w:ind w:firstLine="0"/>
    </w:pPr>
  </w:style>
  <w:style w:type="paragraph" w:styleId="ListContinue5">
    <w:name w:val="List Continue 5"/>
    <w:basedOn w:val="List5"/>
    <w:rsid w:val="00365225"/>
    <w:pPr>
      <w:ind w:firstLine="0"/>
    </w:pPr>
  </w:style>
  <w:style w:type="paragraph" w:styleId="ListNumber3">
    <w:name w:val="List Number 3"/>
    <w:basedOn w:val="List3"/>
    <w:rsid w:val="00365225"/>
    <w:pPr>
      <w:numPr>
        <w:numId w:val="5"/>
      </w:numPr>
    </w:pPr>
  </w:style>
  <w:style w:type="paragraph" w:styleId="ListNumber4">
    <w:name w:val="List Number 4"/>
    <w:basedOn w:val="List4"/>
    <w:rsid w:val="00365225"/>
    <w:pPr>
      <w:numPr>
        <w:numId w:val="6"/>
      </w:numPr>
    </w:pPr>
  </w:style>
  <w:style w:type="paragraph" w:styleId="ListNumber5">
    <w:name w:val="List Number 5"/>
    <w:basedOn w:val="List5"/>
    <w:rsid w:val="00365225"/>
    <w:pPr>
      <w:numPr>
        <w:numId w:val="7"/>
      </w:numPr>
    </w:pPr>
  </w:style>
  <w:style w:type="paragraph" w:styleId="BlockText">
    <w:name w:val="Block Text"/>
    <w:basedOn w:val="Normal"/>
    <w:rsid w:val="00365225"/>
    <w:pPr>
      <w:spacing w:after="120"/>
      <w:ind w:left="1440" w:right="1440"/>
    </w:pPr>
  </w:style>
  <w:style w:type="character" w:customStyle="1" w:styleId="Subscript">
    <w:name w:val="Subscript"/>
    <w:basedOn w:val="DefaultParagraphFont"/>
    <w:rsid w:val="00365225"/>
    <w:rPr>
      <w:sz w:val="16"/>
      <w:vertAlign w:val="subscript"/>
    </w:rPr>
  </w:style>
  <w:style w:type="character" w:customStyle="1" w:styleId="Superscript">
    <w:name w:val="Superscript"/>
    <w:basedOn w:val="DefaultParagraphFont"/>
    <w:rsid w:val="00365225"/>
    <w:rPr>
      <w:sz w:val="16"/>
      <w:vertAlign w:val="superscript"/>
    </w:rPr>
  </w:style>
  <w:style w:type="character" w:customStyle="1" w:styleId="Symbols">
    <w:name w:val="Symbols"/>
    <w:basedOn w:val="DefaultParagraphFont"/>
    <w:rsid w:val="00365225"/>
    <w:rPr>
      <w:rFonts w:ascii="Symbol" w:hAnsi="Symbol"/>
    </w:rPr>
  </w:style>
  <w:style w:type="character" w:customStyle="1" w:styleId="MenuOptions">
    <w:name w:val="Menu Options"/>
    <w:basedOn w:val="DefaultParagraphFont"/>
    <w:rsid w:val="00365225"/>
    <w:rPr>
      <w:rFonts w:ascii="Arial Narrow" w:hAnsi="Arial Narrow"/>
      <w:smallCaps/>
    </w:rPr>
  </w:style>
  <w:style w:type="character" w:customStyle="1" w:styleId="Buttons">
    <w:name w:val="Buttons"/>
    <w:basedOn w:val="DefaultParagraphFont"/>
    <w:rsid w:val="00365225"/>
    <w:rPr>
      <w:b/>
    </w:rPr>
  </w:style>
  <w:style w:type="character" w:customStyle="1" w:styleId="Underlined">
    <w:name w:val="Underlined"/>
    <w:basedOn w:val="DefaultParagraphFont"/>
    <w:rsid w:val="00365225"/>
    <w:rPr>
      <w:u w:val="single"/>
    </w:rPr>
  </w:style>
  <w:style w:type="paragraph" w:customStyle="1" w:styleId="TableBodyTextRight">
    <w:name w:val="Table Body Text Right"/>
    <w:basedOn w:val="TableBodyText"/>
    <w:rsid w:val="00365225"/>
    <w:pPr>
      <w:widowControl w:val="0"/>
      <w:autoSpaceDE w:val="0"/>
      <w:autoSpaceDN w:val="0"/>
      <w:adjustRightInd w:val="0"/>
      <w:jc w:val="right"/>
    </w:pPr>
    <w:rPr>
      <w:rFonts w:cs="Arial"/>
      <w:szCs w:val="18"/>
    </w:rPr>
  </w:style>
  <w:style w:type="paragraph" w:customStyle="1" w:styleId="CopyrightText">
    <w:name w:val="Copyright Text"/>
    <w:basedOn w:val="BodyText"/>
    <w:rsid w:val="00365225"/>
    <w:rPr>
      <w:sz w:val="18"/>
    </w:rPr>
  </w:style>
  <w:style w:type="paragraph" w:customStyle="1" w:styleId="BodySmallRight">
    <w:name w:val="Body Small Right"/>
    <w:basedOn w:val="BodyTextRight"/>
    <w:rsid w:val="00365225"/>
    <w:rPr>
      <w:sz w:val="18"/>
      <w:szCs w:val="18"/>
    </w:rPr>
  </w:style>
  <w:style w:type="paragraph" w:customStyle="1" w:styleId="MarginEdition">
    <w:name w:val="Margin Edition"/>
    <w:basedOn w:val="MarginNote"/>
    <w:rsid w:val="00365225"/>
    <w:pPr>
      <w:spacing w:before="0" w:after="0"/>
    </w:pPr>
    <w:rPr>
      <w:rFonts w:ascii="Times New Roman" w:hAnsi="Times New Roman"/>
      <w:color w:val="999999"/>
    </w:rPr>
  </w:style>
  <w:style w:type="paragraph" w:customStyle="1" w:styleId="Spacer">
    <w:name w:val="Spacer"/>
    <w:basedOn w:val="Normal"/>
    <w:rsid w:val="00365225"/>
    <w:rPr>
      <w:sz w:val="2"/>
      <w:szCs w:val="2"/>
    </w:rPr>
  </w:style>
  <w:style w:type="character" w:customStyle="1" w:styleId="Small">
    <w:name w:val="Small"/>
    <w:basedOn w:val="DefaultParagraphFont"/>
    <w:rsid w:val="00365225"/>
    <w:rPr>
      <w:sz w:val="16"/>
    </w:rPr>
  </w:style>
  <w:style w:type="paragraph" w:customStyle="1" w:styleId="WideTable">
    <w:name w:val="Wide Table"/>
    <w:basedOn w:val="Normal"/>
    <w:rsid w:val="00365225"/>
    <w:pPr>
      <w:ind w:left="-1418"/>
    </w:pPr>
    <w:rPr>
      <w:sz w:val="2"/>
      <w:szCs w:val="2"/>
    </w:rPr>
  </w:style>
  <w:style w:type="character" w:styleId="PageNumber">
    <w:name w:val="page number"/>
    <w:basedOn w:val="DefaultParagraphFont"/>
    <w:rsid w:val="00365225"/>
  </w:style>
  <w:style w:type="paragraph" w:styleId="Quote">
    <w:name w:val="Quote"/>
    <w:basedOn w:val="Heading1"/>
    <w:link w:val="QuoteChar"/>
    <w:qFormat/>
    <w:rsid w:val="00365225"/>
    <w:rPr>
      <w:b w:val="0"/>
      <w:sz w:val="72"/>
      <w:szCs w:val="72"/>
      <w:lang w:val="en-NZ"/>
    </w:rPr>
  </w:style>
  <w:style w:type="character" w:customStyle="1" w:styleId="QuoteChar">
    <w:name w:val="Quote Char"/>
    <w:basedOn w:val="DefaultParagraphFont"/>
    <w:link w:val="Quote"/>
    <w:rsid w:val="00365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225"/>
    <w:pPr>
      <w:pageBreakBefore/>
    </w:pPr>
  </w:style>
  <w:style w:type="paragraph" w:customStyle="1" w:styleId="Border">
    <w:name w:val="Border"/>
    <w:basedOn w:val="Normal"/>
    <w:qFormat/>
    <w:rsid w:val="00365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225"/>
    <w:rPr>
      <w:b/>
      <w:bCs/>
      <w:i/>
      <w:iCs/>
      <w:color w:val="auto"/>
    </w:rPr>
  </w:style>
  <w:style w:type="paragraph" w:styleId="IntenseQuote">
    <w:name w:val="Intense Quote"/>
    <w:basedOn w:val="Normal"/>
    <w:next w:val="Normal"/>
    <w:link w:val="IntenseQuoteChar"/>
    <w:uiPriority w:val="30"/>
    <w:qFormat/>
    <w:rsid w:val="00365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2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225"/>
    <w:rPr>
      <w:smallCaps/>
      <w:color w:val="auto"/>
      <w:u w:val="single"/>
    </w:rPr>
  </w:style>
  <w:style w:type="character" w:styleId="IntenseReference">
    <w:name w:val="Intense Reference"/>
    <w:basedOn w:val="DefaultParagraphFont"/>
    <w:uiPriority w:val="32"/>
    <w:qFormat/>
    <w:rsid w:val="00365225"/>
    <w:rPr>
      <w:b/>
      <w:bCs/>
      <w:smallCaps/>
      <w:color w:val="auto"/>
      <w:spacing w:val="5"/>
      <w:u w:val="single"/>
    </w:rPr>
  </w:style>
  <w:style w:type="paragraph" w:customStyle="1" w:styleId="2ColumnHeading">
    <w:name w:val="2Column Heading"/>
    <w:basedOn w:val="BodyText"/>
    <w:qFormat/>
    <w:rsid w:val="00365225"/>
    <w:pPr>
      <w:spacing w:after="60"/>
      <w:ind w:left="-2268"/>
    </w:pPr>
    <w:rPr>
      <w:b/>
    </w:rPr>
  </w:style>
  <w:style w:type="paragraph" w:customStyle="1" w:styleId="Heading1TOC">
    <w:name w:val="Heading1 TOC"/>
    <w:basedOn w:val="Normal"/>
    <w:qFormat/>
    <w:rsid w:val="00365225"/>
    <w:pPr>
      <w:spacing w:before="240" w:after="120"/>
    </w:pPr>
    <w:rPr>
      <w:rFonts w:ascii="Times New Roman" w:hAnsi="Times New Roman"/>
      <w:b/>
      <w:sz w:val="32"/>
    </w:rPr>
  </w:style>
  <w:style w:type="paragraph" w:customStyle="1" w:styleId="Heading2TOC">
    <w:name w:val="Heading2 TOC"/>
    <w:basedOn w:val="Normal"/>
    <w:qFormat/>
    <w:rsid w:val="00365225"/>
    <w:pPr>
      <w:spacing w:before="240" w:after="60"/>
    </w:pPr>
    <w:rPr>
      <w:rFonts w:ascii="Times New Roman" w:hAnsi="Times New Roman"/>
      <w:b/>
      <w:sz w:val="28"/>
    </w:rPr>
  </w:style>
  <w:style w:type="character" w:customStyle="1" w:styleId="Underline">
    <w:name w:val="Underline"/>
    <w:basedOn w:val="DefaultParagraphFont"/>
    <w:qFormat/>
    <w:rsid w:val="00365225"/>
    <w:rPr>
      <w:u w:val="single"/>
    </w:rPr>
  </w:style>
  <w:style w:type="character" w:customStyle="1" w:styleId="BoldandItalics">
    <w:name w:val="Bold and Italics"/>
    <w:qFormat/>
    <w:rsid w:val="00365225"/>
    <w:rPr>
      <w:b/>
      <w:i/>
      <w:u w:val="none"/>
    </w:rPr>
  </w:style>
  <w:style w:type="paragraph" w:styleId="BalloonText">
    <w:name w:val="Balloon Text"/>
    <w:basedOn w:val="Normal"/>
    <w:link w:val="BalloonTextChar"/>
    <w:rsid w:val="00365225"/>
    <w:rPr>
      <w:rFonts w:ascii="Tahoma" w:hAnsi="Tahoma" w:cs="Tahoma"/>
      <w:sz w:val="16"/>
      <w:szCs w:val="16"/>
    </w:rPr>
  </w:style>
  <w:style w:type="character" w:customStyle="1" w:styleId="BalloonTextChar">
    <w:name w:val="Balloon Text Char"/>
    <w:basedOn w:val="DefaultParagraphFont"/>
    <w:link w:val="BalloonText"/>
    <w:rsid w:val="003652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2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52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225"/>
    <w:rPr>
      <w:b/>
      <w:color w:val="660033"/>
      <w:spacing w:val="0"/>
    </w:rPr>
  </w:style>
  <w:style w:type="paragraph" w:customStyle="1" w:styleId="Nameditemlist">
    <w:name w:val="Named item list"/>
    <w:basedOn w:val="BodyText"/>
    <w:qFormat/>
    <w:rsid w:val="00365225"/>
    <w:pPr>
      <w:tabs>
        <w:tab w:val="left" w:pos="2835"/>
      </w:tabs>
      <w:ind w:left="2835" w:hanging="2835"/>
    </w:pPr>
  </w:style>
  <w:style w:type="paragraph" w:customStyle="1" w:styleId="BodyTextnopadding">
    <w:name w:val="Body Text no padding"/>
    <w:basedOn w:val="BodyText"/>
    <w:qFormat/>
    <w:rsid w:val="00365225"/>
    <w:pPr>
      <w:spacing w:before="0" w:after="0"/>
    </w:pPr>
  </w:style>
  <w:style w:type="paragraph" w:customStyle="1" w:styleId="BodyTextBold">
    <w:name w:val="Body Text Bold"/>
    <w:basedOn w:val="BodyText"/>
    <w:qFormat/>
    <w:rsid w:val="00365225"/>
    <w:rPr>
      <w:b/>
    </w:rPr>
  </w:style>
  <w:style w:type="character" w:styleId="Hyperlink">
    <w:name w:val="Hyperlink"/>
    <w:basedOn w:val="DefaultParagraphFont"/>
    <w:uiPriority w:val="99"/>
    <w:unhideWhenUsed/>
    <w:rsid w:val="005A4C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1627</Words>
  <Characters>10596</Characters>
  <Application>Microsoft Office Word</Application>
  <DocSecurity>0</DocSecurity>
  <Lines>353</Lines>
  <Paragraphs>222</Paragraphs>
  <ScaleCrop>false</ScaleCrop>
  <Company>Author-it Software Corporation Ltd.</Company>
  <LinksUpToDate>false</LinksUpToDate>
  <CharactersWithSpaces>12001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MSFSL5001 Assess conservation requirements</dc:title>
  <dc:subject>Approved</dc:subject>
  <dc:creator>Skills Insight</dc:creator>
  <cp:keywords>Release: 1</cp:keywords>
  <dc:description>Review Date: 12 April 2008</dc:description>
  <cp:lastModifiedBy>HSD_TPCMSd.prod</cp:lastModifiedBy>
  <cp:revision>3</cp:revision>
  <dcterms:created xsi:type="dcterms:W3CDTF">2025-03-02T00:26:00Z</dcterms:created>
  <dcterms:modified xsi:type="dcterms:W3CDTF">2025-03-02T00:26:00Z</dcterms:modified>
</cp:coreProperties>
</file>