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DD1" w:rsidP="00162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MSFSL3008 Process coloured and textured glass by hand</w:t>
      </w:r>
      <w:r>
        <w:fldChar w:fldCharType="end"/>
      </w:r>
    </w:p>
    <w:p w:rsidR="00162DD1" w:rsidP="00162DD1">
      <w:pPr>
        <w:pStyle w:val="Version"/>
        <w:sectPr w:rsidSect="00A019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99C" w:rsidP="00A0199C">
      <w:pPr>
        <w:pStyle w:val="SuperHeading"/>
      </w:pPr>
      <w:r w:rsidRPr="00A0199C">
        <w:t>MSFSL3008 Process coloured and textured glass by hand</w:t>
      </w:r>
    </w:p>
    <w:p w:rsidR="00000000" w:rsidRPr="00A0199C" w:rsidP="00A0199C">
      <w:pPr>
        <w:pStyle w:val="Heading1"/>
      </w:pPr>
      <w:bookmarkStart w:id="1" w:name="O_846562"/>
      <w:bookmarkEnd w:id="1"/>
      <w:r w:rsidRPr="00A0199C">
        <w:t>Modification History</w:t>
      </w:r>
    </w:p>
    <w:p w:rsidR="00000000" w:rsidRPr="00A0199C" w:rsidP="00A0199C">
      <w:pPr>
        <w:pStyle w:val="BodyText"/>
      </w:pPr>
      <w:r w:rsidRPr="00A0199C">
        <w:t>Release 1. New unit</w:t>
      </w:r>
    </w:p>
    <w:p w:rsidR="00000000" w:rsidRPr="00A0199C" w:rsidP="00A0199C">
      <w:pPr>
        <w:pStyle w:val="AllowPageBreak"/>
      </w:pPr>
    </w:p>
    <w:p w:rsidR="00000000" w:rsidRPr="00A0199C" w:rsidP="00A0199C">
      <w:pPr>
        <w:pStyle w:val="Heading1"/>
      </w:pPr>
      <w:bookmarkStart w:id="2" w:name="O_846563"/>
      <w:bookmarkEnd w:id="2"/>
      <w:r w:rsidRPr="00A0199C">
        <w:t>Application</w:t>
      </w:r>
    </w:p>
    <w:p w:rsidR="00000000" w:rsidRPr="00A0199C" w:rsidP="00A0199C">
      <w:pPr>
        <w:pStyle w:val="BodyText"/>
      </w:pPr>
      <w:r w:rsidRPr="00A0199C">
        <w:t>This unit specifies the skills and knowledge required to cut, shape and apply finishing techniques to annealed coloured and textured glass of manufactured thickness.</w:t>
      </w:r>
    </w:p>
    <w:p w:rsidR="00000000" w:rsidRPr="00A0199C" w:rsidP="00A0199C">
      <w:pPr>
        <w:pStyle w:val="BodyText"/>
      </w:pPr>
    </w:p>
    <w:p w:rsidR="00000000" w:rsidRPr="00A0199C" w:rsidP="00A0199C">
      <w:pPr>
        <w:pStyle w:val="BodyText"/>
      </w:pPr>
      <w:r w:rsidRPr="00A0199C">
        <w:t>No licensin</w:t>
      </w:r>
      <w:r w:rsidRPr="00A0199C">
        <w:t>g, legislative or certification requirements apply to this unit at the time of publication.</w:t>
      </w:r>
    </w:p>
    <w:p w:rsidR="00000000" w:rsidRPr="00A0199C" w:rsidP="00A0199C">
      <w:pPr>
        <w:pStyle w:val="AllowPageBreak"/>
      </w:pPr>
    </w:p>
    <w:p w:rsidR="00000000" w:rsidRPr="00A0199C" w:rsidP="00A0199C">
      <w:pPr>
        <w:pStyle w:val="Heading1"/>
      </w:pPr>
      <w:bookmarkStart w:id="3" w:name="O_846564"/>
      <w:bookmarkEnd w:id="3"/>
      <w:r w:rsidRPr="00A0199C">
        <w:t>Pre-requisite Unit</w:t>
      </w:r>
    </w:p>
    <w:p w:rsidR="00000000" w:rsidRPr="00A0199C" w:rsidP="00A0199C">
      <w:pPr>
        <w:pStyle w:val="BodyText"/>
      </w:pPr>
      <w:r w:rsidRPr="00A0199C">
        <w:t>Nil</w:t>
      </w:r>
    </w:p>
    <w:p w:rsidR="00000000" w:rsidRPr="00A0199C" w:rsidP="00A0199C">
      <w:pPr>
        <w:pStyle w:val="AllowPageBreak"/>
      </w:pPr>
    </w:p>
    <w:p w:rsidR="00000000" w:rsidRPr="00A0199C" w:rsidP="00A0199C">
      <w:pPr>
        <w:pStyle w:val="Heading1"/>
      </w:pPr>
      <w:bookmarkStart w:id="4" w:name="O_846565"/>
      <w:bookmarkEnd w:id="4"/>
      <w:r w:rsidRPr="00A0199C">
        <w:t>Competency Field</w:t>
      </w:r>
    </w:p>
    <w:p w:rsidR="00000000" w:rsidRPr="00A0199C" w:rsidP="00A0199C">
      <w:pPr>
        <w:pStyle w:val="Heading1"/>
      </w:pPr>
      <w:bookmarkStart w:id="5" w:name="O_846566"/>
      <w:bookmarkEnd w:id="5"/>
      <w:r w:rsidRPr="00A0199C">
        <w:t>Unit Sector</w:t>
      </w:r>
    </w:p>
    <w:p w:rsidR="00000000" w:rsidRPr="00A0199C" w:rsidP="00A0199C">
      <w:pPr>
        <w:pStyle w:val="BodyText"/>
      </w:pPr>
      <w:r w:rsidRPr="00A0199C">
        <w:t>Leadlight and stained glass</w:t>
      </w:r>
    </w:p>
    <w:p w:rsidR="00000000" w:rsidRPr="00A0199C" w:rsidP="00A0199C">
      <w:pPr>
        <w:pStyle w:val="AllowPageBreak"/>
      </w:pPr>
    </w:p>
    <w:p w:rsidR="00000000" w:rsidRPr="00A0199C" w:rsidP="00A0199C">
      <w:pPr>
        <w:pStyle w:val="Heading1"/>
      </w:pPr>
      <w:bookmarkStart w:id="6" w:name="O_846567"/>
      <w:bookmarkEnd w:id="6"/>
      <w:r w:rsidRPr="00A0199C">
        <w:t>Elements and Perf</w:t>
      </w:r>
      <w:r w:rsidRPr="00A0199C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BodyText"/>
            </w:pPr>
            <w:r w:rsidRPr="00A0199C">
              <w:t>Performance criteria describe the performance needed to demonstrate achievement of the element.</w:t>
            </w:r>
          </w:p>
        </w:tc>
      </w:tr>
    </w:tbl>
    <w:p w:rsidR="00000000" w:rsidRPr="00A0199C" w:rsidP="00A0199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Follow standard operating procedures (SOPs)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Comply with work health and safety (WHS) requirements at all times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Use appropriate personal protective equipment (PPE) in accordance with SOPs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BodyText"/>
            </w:pPr>
            <w:r w:rsidRPr="00A0199C">
              <w:t>Identify job requirements, including materials, types of cuts, shapes and edges, processes and quantities required, from specifications, drawings, designs, job sheets or work instructions</w:t>
            </w:r>
          </w:p>
        </w:tc>
      </w:tr>
    </w:tbl>
    <w:p w:rsidR="00000000" w:rsidRPr="00A0199C" w:rsidP="00A0199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 xml:space="preserve">Select and check tools, equipment </w:t>
            </w:r>
            <w:r w:rsidRPr="00A0199C">
              <w:t xml:space="preserve">and thin glass materials prior to use to ensure they are appropriate for the work and are in a safe and serviceable condition 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Determine cutting list and identify quality standards and procedures in accordance with workplace requirements and industr</w:t>
            </w:r>
            <w:r w:rsidRPr="00A0199C">
              <w:t>y standards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 xml:space="preserve">Select glass to be cut and processed to industry standard tolerances using information from the work order, including type of glass, thickness, colour, texture and dimensions 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Identify and</w:t>
            </w:r>
            <w:r w:rsidRPr="00A0199C">
              <w:t xml:space="preserve"> prepare equipment and settings required to perform the work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Plan the work sequence in a logical order to suit the job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Select suitable cutting, shaping and lubrication methods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Select glass processing table and clear surface and work area of debris, dust , obstructions and potential hazards with cullet bins located close to work area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Check glass for imperfections and damage prior to handling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BodyText"/>
            </w:pPr>
            <w:r w:rsidRPr="00A0199C">
              <w:t>Locate glass to be proce</w:t>
            </w:r>
            <w:r w:rsidRPr="00A0199C">
              <w:t>ssed in the work area using correct manual handling techniques and procedures</w:t>
            </w:r>
          </w:p>
        </w:tc>
      </w:tr>
    </w:tbl>
    <w:p w:rsidR="00000000" w:rsidRPr="00A0199C" w:rsidP="00A0199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Process glass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Measure glass within specified tolerances so as to minimise waste according to enterprise standards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Operate and monitor tools a</w:t>
            </w:r>
            <w:r w:rsidRPr="00A0199C">
              <w:t>nd equipment in accordance with manufacturer instructions and workplace procedures to ensure correct quality and output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Process glass to required standard in accordance with job order, work instructions and procedures, including the performance of r</w:t>
            </w:r>
            <w:r w:rsidRPr="00A0199C">
              <w:t>outine lubrication and adjustments of tools/equipment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Identify and report problems occurred during work operations to appropriate personnel in accordance with workplace procedures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 xml:space="preserve">Follow authorised changes in working procedures and/or </w:t>
            </w:r>
            <w:r w:rsidRPr="00A0199C">
              <w:t>requirements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BodyText"/>
            </w:pPr>
            <w:r w:rsidRPr="00A0199C">
              <w:t>Inspect completed product for quality of work and items found defective are repaired, reprocessed or discarded in accordance with workplace procedures</w:t>
            </w:r>
          </w:p>
        </w:tc>
      </w:tr>
    </w:tbl>
    <w:p w:rsidR="00000000" w:rsidRPr="00A0199C" w:rsidP="00A0199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Label an</w:t>
            </w:r>
            <w:r w:rsidRPr="00A0199C">
              <w:t>d store processed glass ensuring there are no projections in accordance with procedures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Remove scraps and off-cuts for disposal and/or recycling as required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Remove and store tools, equipment and unused materials in accordance with SOPs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Clean work area and dispose of rubbish as appropriate</w:t>
            </w:r>
          </w:p>
        </w:tc>
      </w:tr>
      <w:tr w:rsidTr="00A019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BodyText"/>
            </w:pPr>
            <w:r w:rsidRPr="00A0199C">
              <w:t>Complete workplace documentation in accordance with SOPs</w:t>
            </w:r>
          </w:p>
        </w:tc>
      </w:tr>
    </w:tbl>
    <w:p w:rsidR="00000000" w:rsidRPr="00A0199C" w:rsidP="00A0199C">
      <w:pPr>
        <w:pStyle w:val="BodyText"/>
      </w:pPr>
    </w:p>
    <w:p w:rsidR="00000000" w:rsidRPr="00A0199C" w:rsidP="00A0199C">
      <w:pPr>
        <w:pStyle w:val="AllowPageBreak"/>
      </w:pPr>
    </w:p>
    <w:p w:rsidR="00000000" w:rsidRPr="00A0199C" w:rsidP="00A0199C">
      <w:pPr>
        <w:pStyle w:val="Heading1"/>
      </w:pPr>
      <w:bookmarkStart w:id="7" w:name="O_846568"/>
      <w:bookmarkEnd w:id="7"/>
      <w:r w:rsidRPr="00A0199C">
        <w:t>Foundation Skills</w:t>
      </w:r>
    </w:p>
    <w:p w:rsidR="00000000" w:rsidRPr="00A0199C" w:rsidP="00A0199C">
      <w:pPr>
        <w:pStyle w:val="BodyText"/>
      </w:pPr>
      <w:r w:rsidRPr="00A0199C">
        <w:t>This section describes those required skills (reading, writing, oral communication and numeracy) that are essential to workplace performance in this unit of competency.</w:t>
      </w:r>
    </w:p>
    <w:p w:rsidR="00000000" w:rsidRPr="00A0199C" w:rsidP="00A0199C">
      <w:pPr>
        <w:pStyle w:val="BodyText"/>
      </w:pPr>
    </w:p>
    <w:p w:rsidR="00000000" w:rsidRPr="00A0199C" w:rsidP="00A0199C">
      <w:pPr>
        <w:pStyle w:val="BodyText"/>
      </w:pPr>
      <w:r w:rsidRPr="00A0199C">
        <w:t>Foundation skills essential to performance are explicit in the performance criteria of</w:t>
      </w:r>
      <w:r w:rsidRPr="00A0199C">
        <w:t xml:space="preserve"> this unit of competency.</w:t>
      </w:r>
    </w:p>
    <w:p w:rsidR="00000000" w:rsidRPr="00A0199C" w:rsidP="00A0199C">
      <w:pPr>
        <w:pStyle w:val="AllowPageBreak"/>
      </w:pPr>
    </w:p>
    <w:p w:rsidR="00000000" w:rsidRPr="00A0199C" w:rsidP="00A0199C">
      <w:pPr>
        <w:pStyle w:val="Heading1"/>
      </w:pPr>
      <w:bookmarkStart w:id="8" w:name="O_846569"/>
      <w:bookmarkEnd w:id="8"/>
      <w:r w:rsidRPr="00A0199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162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t>This field allows for different work environments and conditions that may affect performance. Essential operating conditions that may be present (depending on the work situation, needs of the c</w:t>
            </w:r>
            <w:r w:rsidRPr="00A0199C">
              <w:t>andidate, accessibility of the item, and local industry and regional contexts) are included.</w:t>
            </w:r>
          </w:p>
        </w:tc>
      </w:tr>
      <w:tr w:rsidTr="00162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rPr>
                <w:rStyle w:val="SpecialBold"/>
              </w:rPr>
              <w:t>Unit context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ListBullet"/>
            </w:pPr>
            <w:r w:rsidRPr="00A0199C">
              <w:t xml:space="preserve">WHS requirements, including legislation, building codes, material safety management </w:t>
            </w:r>
            <w:r w:rsidRPr="00A0199C">
              <w:t>systems, hazardous and dangerous goods codes and local safe operating procedures or equivalent</w:t>
            </w:r>
          </w:p>
          <w:p w:rsidR="00000000" w:rsidRPr="00A0199C" w:rsidP="00A0199C">
            <w:pPr>
              <w:pStyle w:val="ListBullet"/>
            </w:pPr>
            <w:r w:rsidRPr="00A0199C">
              <w:t>work is carried out in accordance with legislative obligations, environmental legislation, relevant health regulations, manual handling procedures and organisati</w:t>
            </w:r>
            <w:r w:rsidRPr="00A0199C">
              <w:t>on insurance requirements</w:t>
            </w:r>
          </w:p>
          <w:p w:rsidR="00000000" w:rsidRPr="00A0199C" w:rsidP="00A0199C">
            <w:pPr>
              <w:pStyle w:val="ListBullet"/>
            </w:pPr>
            <w:r w:rsidRPr="00A0199C">
              <w:t>work requires individuals to demonstrate some discretion, judgement and problem solving</w:t>
            </w:r>
          </w:p>
          <w:p w:rsidR="00000000" w:rsidP="00A0199C">
            <w:pPr>
              <w:pStyle w:val="BodyText"/>
              <w:rPr>
                <w:lang w:val="en-NZ"/>
              </w:rPr>
            </w:pPr>
          </w:p>
        </w:tc>
      </w:tr>
      <w:tr w:rsidTr="00162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ListBullet"/>
            </w:pPr>
            <w:r w:rsidRPr="00A0199C">
              <w:t>annealed coloured and textured glass suitable for architectural and stained glass</w:t>
            </w:r>
          </w:p>
          <w:p w:rsidR="00000000" w:rsidRPr="00A0199C" w:rsidP="00A0199C">
            <w:pPr>
              <w:pStyle w:val="ListBullet"/>
            </w:pPr>
            <w:r w:rsidRPr="00A0199C">
              <w:t>furni</w:t>
            </w:r>
            <w:r w:rsidRPr="00A0199C">
              <w:t>ture applications and mirrors</w:t>
            </w:r>
          </w:p>
          <w:p w:rsidR="00000000" w:rsidRPr="00A0199C" w:rsidP="00A0199C">
            <w:pPr>
              <w:pStyle w:val="ListBullet"/>
            </w:pPr>
            <w:r w:rsidRPr="00A0199C">
              <w:t>speciality glasses, including flash coloured glass and antique glass</w:t>
            </w:r>
          </w:p>
          <w:p w:rsidR="00000000" w:rsidP="00A0199C">
            <w:pPr>
              <w:pStyle w:val="BodyText"/>
              <w:rPr>
                <w:lang w:val="en-NZ"/>
              </w:rPr>
            </w:pPr>
          </w:p>
        </w:tc>
      </w:tr>
      <w:tr w:rsidTr="00162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rPr>
                <w:rStyle w:val="SpecialBold"/>
              </w:rPr>
              <w:t xml:space="preserve">Tools and equipment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ListBullet"/>
            </w:pPr>
            <w:r w:rsidRPr="00A0199C">
              <w:t>flat felt covered cutting tables</w:t>
            </w:r>
          </w:p>
          <w:p w:rsidR="00000000" w:rsidRPr="00A0199C" w:rsidP="00A0199C">
            <w:pPr>
              <w:pStyle w:val="ListBullet"/>
            </w:pPr>
            <w:r w:rsidRPr="00A0199C">
              <w:t>tungsten wheel glass cutters</w:t>
            </w:r>
          </w:p>
          <w:p w:rsidR="00000000" w:rsidRPr="00A0199C" w:rsidP="00A0199C">
            <w:pPr>
              <w:pStyle w:val="ListBullet"/>
            </w:pPr>
            <w:r w:rsidRPr="00A0199C">
              <w:t>circle cutters</w:t>
            </w:r>
          </w:p>
          <w:p w:rsidR="00000000" w:rsidRPr="00A0199C" w:rsidP="00A0199C">
            <w:pPr>
              <w:pStyle w:val="ListBullet"/>
            </w:pPr>
            <w:r w:rsidRPr="00A0199C">
              <w:t xml:space="preserve">L-squares and straight edges </w:t>
            </w:r>
          </w:p>
          <w:p w:rsidR="00000000" w:rsidRPr="00A0199C" w:rsidP="00A0199C">
            <w:pPr>
              <w:pStyle w:val="ListBullet"/>
            </w:pPr>
            <w:r w:rsidRPr="00A0199C">
              <w:t>tape measures</w:t>
            </w:r>
          </w:p>
          <w:p w:rsidR="00000000" w:rsidRPr="00A0199C" w:rsidP="00A0199C">
            <w:pPr>
              <w:pStyle w:val="ListBullet"/>
            </w:pPr>
            <w:r w:rsidRPr="00A0199C">
              <w:t>marking pens and chinagraph pencils</w:t>
            </w:r>
          </w:p>
          <w:p w:rsidR="00000000" w:rsidRPr="00A0199C" w:rsidP="00A0199C">
            <w:pPr>
              <w:pStyle w:val="ListBullet"/>
            </w:pPr>
            <w:r w:rsidRPr="00A0199C">
              <w:t>templates and lubricants</w:t>
            </w:r>
          </w:p>
          <w:p w:rsidR="00000000" w:rsidRPr="00A0199C" w:rsidP="00A0199C">
            <w:pPr>
              <w:pStyle w:val="ListBullet"/>
            </w:pPr>
            <w:r w:rsidRPr="00A0199C">
              <w:t>tables appropriate for cutting glass</w:t>
            </w:r>
          </w:p>
          <w:p w:rsidR="00000000" w:rsidP="00A0199C">
            <w:pPr>
              <w:pStyle w:val="BodyText"/>
              <w:rPr>
                <w:lang w:val="en-NZ"/>
              </w:rPr>
            </w:pPr>
          </w:p>
        </w:tc>
      </w:tr>
      <w:tr w:rsidTr="00162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rPr>
                <w:rStyle w:val="SpecialBold"/>
              </w:rPr>
              <w:t>Thin glass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ListBullet"/>
            </w:pPr>
            <w:r w:rsidRPr="00A0199C">
              <w:t>annealed coloured and textured glass of manufactured thickness</w:t>
            </w:r>
          </w:p>
          <w:p w:rsidR="00000000" w:rsidP="00A0199C">
            <w:pPr>
              <w:pStyle w:val="BodyText"/>
              <w:rPr>
                <w:lang w:val="en-NZ"/>
              </w:rPr>
            </w:pPr>
          </w:p>
        </w:tc>
      </w:tr>
      <w:tr w:rsidTr="00162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rPr>
                <w:rStyle w:val="SpecialBold"/>
              </w:rPr>
              <w:t>Glass processing by hand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ListBullet"/>
            </w:pPr>
            <w:r w:rsidRPr="00A0199C">
              <w:t>cutting</w:t>
            </w:r>
          </w:p>
          <w:p w:rsidR="00000000" w:rsidRPr="00A0199C" w:rsidP="00A0199C">
            <w:pPr>
              <w:pStyle w:val="ListBullet"/>
            </w:pPr>
            <w:r w:rsidRPr="00A0199C">
              <w:t>shaping</w:t>
            </w:r>
          </w:p>
          <w:p w:rsidR="00000000" w:rsidP="00A0199C">
            <w:pPr>
              <w:pStyle w:val="BodyText"/>
              <w:rPr>
                <w:lang w:val="en-NZ"/>
              </w:rPr>
            </w:pPr>
          </w:p>
        </w:tc>
      </w:tr>
      <w:tr w:rsidTr="00162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rPr>
                <w:rStyle w:val="SpecialBold"/>
              </w:rPr>
              <w:t>PPE includes one (1) or 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BodyText"/>
            </w:pPr>
            <w:r w:rsidRPr="00A0199C">
              <w:t>That prescribed under legislation, regulations and enterprise policies and practices, including:</w:t>
            </w:r>
          </w:p>
          <w:p w:rsidR="00000000" w:rsidRPr="00A0199C" w:rsidP="00A0199C">
            <w:pPr>
              <w:pStyle w:val="ListBullet"/>
            </w:pPr>
            <w:r w:rsidRPr="00A0199C">
              <w:t>gloves</w:t>
            </w:r>
          </w:p>
          <w:p w:rsidR="00000000" w:rsidRPr="00A0199C" w:rsidP="00A0199C">
            <w:pPr>
              <w:pStyle w:val="ListBullet"/>
            </w:pPr>
            <w:r w:rsidRPr="00A0199C">
              <w:t>safety glasses</w:t>
            </w:r>
          </w:p>
          <w:p w:rsidR="00000000" w:rsidRPr="00A0199C" w:rsidP="00A0199C">
            <w:pPr>
              <w:pStyle w:val="ListBullet"/>
            </w:pPr>
            <w:r w:rsidRPr="00A0199C">
              <w:t>gauntlets</w:t>
            </w:r>
          </w:p>
          <w:p w:rsidR="00000000" w:rsidRPr="00A0199C" w:rsidP="00A0199C">
            <w:pPr>
              <w:pStyle w:val="ListBullet"/>
            </w:pPr>
            <w:r w:rsidRPr="00A0199C">
              <w:t>safety footwear</w:t>
            </w:r>
          </w:p>
          <w:p w:rsidR="00000000" w:rsidRPr="00A0199C" w:rsidP="00A0199C">
            <w:pPr>
              <w:pStyle w:val="ListBullet"/>
            </w:pPr>
            <w:r w:rsidRPr="00A0199C">
              <w:t>earmuffs</w:t>
            </w:r>
          </w:p>
          <w:p w:rsidR="00000000" w:rsidRPr="00A0199C" w:rsidP="00A0199C">
            <w:pPr>
              <w:pStyle w:val="ListBullet"/>
            </w:pPr>
            <w:r w:rsidRPr="00A0199C">
              <w:t>aprons and overalls</w:t>
            </w:r>
          </w:p>
          <w:p w:rsidR="00000000" w:rsidP="00A0199C">
            <w:pPr>
              <w:pStyle w:val="BodyText"/>
              <w:rPr>
                <w:lang w:val="en-NZ"/>
              </w:rPr>
            </w:pPr>
          </w:p>
        </w:tc>
      </w:tr>
      <w:tr w:rsidTr="00162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9C">
            <w:pPr>
              <w:pStyle w:val="BodyText"/>
              <w:rPr>
                <w:lang w:val="en-NZ"/>
              </w:rPr>
            </w:pPr>
            <w:r w:rsidRPr="00A0199C">
              <w:rPr>
                <w:rStyle w:val="SpecialBold"/>
              </w:rPr>
              <w:t>Information and procedures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9C" w:rsidP="00A0199C">
            <w:pPr>
              <w:pStyle w:val="ListBullet"/>
            </w:pPr>
            <w:r w:rsidRPr="00A0199C">
              <w:t>workplace procedures relating to the use and operation of tools and equipment and PPE</w:t>
            </w:r>
          </w:p>
          <w:p w:rsidR="00000000" w:rsidRPr="00A0199C" w:rsidP="00A0199C">
            <w:pPr>
              <w:pStyle w:val="ListBullet"/>
            </w:pPr>
            <w:r w:rsidRPr="00A0199C">
              <w:t>workplace instructions including job sheets, cutting lists, plans, drawings and designs</w:t>
            </w:r>
          </w:p>
          <w:p w:rsidR="00000000" w:rsidRPr="00A0199C" w:rsidP="00A0199C">
            <w:pPr>
              <w:pStyle w:val="ListBullet"/>
            </w:pPr>
            <w:r w:rsidRPr="00A0199C">
              <w:t>workplace pr</w:t>
            </w:r>
            <w:r w:rsidRPr="00A0199C">
              <w:t>ocedures relating to reporting and communications</w:t>
            </w:r>
          </w:p>
          <w:p w:rsidR="00000000" w:rsidRPr="00A0199C" w:rsidP="00A0199C">
            <w:pPr>
              <w:pStyle w:val="ListBullet"/>
            </w:pPr>
            <w:r w:rsidRPr="00A0199C">
              <w:t>manufacturer specifications and operational procedures</w:t>
            </w:r>
          </w:p>
          <w:p w:rsidR="00000000" w:rsidRPr="00A0199C" w:rsidP="00A0199C">
            <w:pPr>
              <w:pStyle w:val="BodyText"/>
            </w:pPr>
          </w:p>
        </w:tc>
      </w:tr>
    </w:tbl>
    <w:p w:rsidR="00000000" w:rsidRPr="00A0199C" w:rsidP="00A0199C">
      <w:pPr>
        <w:pStyle w:val="BodyText"/>
      </w:pPr>
    </w:p>
    <w:p w:rsidR="00000000" w:rsidRPr="00A0199C" w:rsidP="00A0199C">
      <w:pPr>
        <w:pStyle w:val="AllowPageBreak"/>
      </w:pPr>
    </w:p>
    <w:p w:rsidR="00000000" w:rsidRPr="00A0199C" w:rsidP="00A0199C">
      <w:pPr>
        <w:pStyle w:val="Heading1"/>
      </w:pPr>
      <w:bookmarkStart w:id="9" w:name="O_846570"/>
      <w:bookmarkEnd w:id="9"/>
      <w:r w:rsidRPr="00A0199C">
        <w:t>Unit Mapping Information</w:t>
      </w:r>
    </w:p>
    <w:p w:rsidR="00000000" w:rsidRPr="00A0199C" w:rsidP="00A0199C">
      <w:pPr>
        <w:pStyle w:val="BodyText"/>
      </w:pPr>
      <w:r w:rsidRPr="00A0199C">
        <w:t>New Unit</w:t>
      </w:r>
    </w:p>
    <w:p w:rsidR="00000000" w:rsidRPr="00A0199C" w:rsidP="00A0199C">
      <w:pPr>
        <w:pStyle w:val="AllowPageBreak"/>
      </w:pPr>
    </w:p>
    <w:p w:rsidR="00000000" w:rsidRPr="00A0199C" w:rsidP="00A0199C">
      <w:pPr>
        <w:pStyle w:val="Heading1"/>
      </w:pPr>
      <w:bookmarkStart w:id="10" w:name="O_846577"/>
      <w:bookmarkEnd w:id="10"/>
      <w:r w:rsidRPr="00A0199C">
        <w:t>Links</w:t>
      </w:r>
    </w:p>
    <w:p w:rsidR="00000000" w:rsidRPr="00A0199C" w:rsidP="00A0199C">
      <w:pPr>
        <w:pStyle w:val="BodyText"/>
      </w:pPr>
      <w:r w:rsidRPr="00A0199C">
        <w:t>Companion Volume implementation guides are found in VETNet - https://vetnet.education.gov.au/Pages/TrainingDocs.aspx?q=0601ab95-583a-4e93-b2d4-cfb27b03ed73</w:t>
      </w:r>
    </w:p>
    <w:p w:rsidR="00000000" w:rsidRPr="00A0199C" w:rsidP="00A0199C"/>
    <w:sectPr w:rsidSect="00A019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9C" w:rsidRPr="00162DD1" w:rsidP="00162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D1" w:rsidP="00A01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DD1" w:rsidP="00A01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62DD1" w:rsidP="00A019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99C" w:rsidRPr="00162DD1" w:rsidP="00162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D1" w:rsidRPr="002D2AF8" w:rsidP="00A01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MSFSL3008 Process coloured and textured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62DD1" w:rsidP="00A019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C09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3E95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9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9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9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9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9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9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9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9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9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9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9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99C"/>
  </w:style>
  <w:style w:type="character" w:customStyle="1" w:styleId="Heading1Char">
    <w:name w:val="Heading 1 Char"/>
    <w:basedOn w:val="DefaultParagraphFont"/>
    <w:link w:val="Heading1"/>
    <w:rsid w:val="00A019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9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9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9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99C"/>
    <w:rPr>
      <w:b/>
      <w:spacing w:val="0"/>
    </w:rPr>
  </w:style>
  <w:style w:type="paragraph" w:customStyle="1" w:styleId="SuperHeading">
    <w:name w:val="SuperHeading"/>
    <w:basedOn w:val="Normal"/>
    <w:rsid w:val="00A019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9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9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9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9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9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9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9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9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9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9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9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9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9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9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9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9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9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9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9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9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9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9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9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9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9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9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9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9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9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9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99C"/>
    <w:rPr>
      <w:i/>
    </w:rPr>
  </w:style>
  <w:style w:type="paragraph" w:styleId="Caption">
    <w:name w:val="caption"/>
    <w:basedOn w:val="BodyText"/>
    <w:next w:val="Normal"/>
    <w:qFormat/>
    <w:rsid w:val="00A019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9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9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99C"/>
  </w:style>
  <w:style w:type="paragraph" w:styleId="TableofFigures">
    <w:name w:val="table of figures"/>
    <w:basedOn w:val="Normal"/>
    <w:next w:val="Normal"/>
    <w:semiHidden/>
    <w:rsid w:val="00A019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99C"/>
    <w:pPr>
      <w:numPr>
        <w:numId w:val="10"/>
      </w:numPr>
    </w:pPr>
  </w:style>
  <w:style w:type="character" w:customStyle="1" w:styleId="WingdingSymbols">
    <w:name w:val="Wingding Symbols"/>
    <w:rsid w:val="00A0199C"/>
    <w:rPr>
      <w:rFonts w:ascii="Wingdings" w:hAnsi="Wingdings"/>
    </w:rPr>
  </w:style>
  <w:style w:type="paragraph" w:customStyle="1" w:styleId="TableHeading">
    <w:name w:val="Table Heading"/>
    <w:basedOn w:val="HeadingBase"/>
    <w:rsid w:val="00A019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99C"/>
    <w:rPr>
      <w:color w:val="0033CC"/>
      <w:u w:val="none"/>
    </w:rPr>
  </w:style>
  <w:style w:type="paragraph" w:customStyle="1" w:styleId="BodyTextRight">
    <w:name w:val="Body Text Right"/>
    <w:basedOn w:val="BodyText"/>
    <w:rsid w:val="00A019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9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9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9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9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9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99C"/>
    <w:rPr>
      <w:sz w:val="32"/>
    </w:rPr>
  </w:style>
  <w:style w:type="paragraph" w:customStyle="1" w:styleId="HeadingProcedure">
    <w:name w:val="Heading Procedure"/>
    <w:basedOn w:val="HeadingBase"/>
    <w:next w:val="Normal"/>
    <w:rsid w:val="00A019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99C"/>
    <w:pPr>
      <w:spacing w:before="60" w:after="60"/>
    </w:pPr>
  </w:style>
  <w:style w:type="paragraph" w:styleId="ListContinue">
    <w:name w:val="List Continue"/>
    <w:basedOn w:val="List"/>
    <w:rsid w:val="00A0199C"/>
    <w:pPr>
      <w:ind w:firstLine="0"/>
    </w:pPr>
  </w:style>
  <w:style w:type="paragraph" w:customStyle="1" w:styleId="ListNote">
    <w:name w:val="List Note"/>
    <w:basedOn w:val="List"/>
    <w:rsid w:val="00A019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9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9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99C"/>
    <w:rPr>
      <w:rFonts w:ascii="Courier New" w:hAnsi="Courier New"/>
    </w:rPr>
  </w:style>
  <w:style w:type="paragraph" w:customStyle="1" w:styleId="NoteBullet">
    <w:name w:val="Note Bullet"/>
    <w:basedOn w:val="Note"/>
    <w:rsid w:val="00A019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9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9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9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9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19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9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99C"/>
    <w:rPr>
      <w:b/>
      <w:smallCaps/>
    </w:rPr>
  </w:style>
  <w:style w:type="paragraph" w:customStyle="1" w:styleId="TableListNumber">
    <w:name w:val="Table List Number"/>
    <w:basedOn w:val="ListNumber"/>
    <w:rsid w:val="00A019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9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99C"/>
    <w:pPr>
      <w:numPr>
        <w:numId w:val="8"/>
      </w:numPr>
    </w:pPr>
  </w:style>
  <w:style w:type="paragraph" w:customStyle="1" w:styleId="ListAlpha2">
    <w:name w:val="List Alpha 2"/>
    <w:basedOn w:val="List2"/>
    <w:rsid w:val="00A0199C"/>
    <w:pPr>
      <w:numPr>
        <w:numId w:val="7"/>
      </w:numPr>
    </w:pPr>
  </w:style>
  <w:style w:type="paragraph" w:styleId="List2">
    <w:name w:val="List 2"/>
    <w:basedOn w:val="BodyText"/>
    <w:rsid w:val="00A019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9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9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9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9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9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99C"/>
    <w:pPr>
      <w:numPr>
        <w:numId w:val="3"/>
      </w:numPr>
    </w:pPr>
  </w:style>
  <w:style w:type="paragraph" w:styleId="ListContinue2">
    <w:name w:val="List Continue 2"/>
    <w:basedOn w:val="List2"/>
    <w:rsid w:val="00A0199C"/>
    <w:pPr>
      <w:ind w:firstLine="0"/>
    </w:pPr>
  </w:style>
  <w:style w:type="paragraph" w:styleId="ListContinue3">
    <w:name w:val="List Continue 3"/>
    <w:basedOn w:val="List3"/>
    <w:rsid w:val="00A0199C"/>
    <w:pPr>
      <w:ind w:left="1021" w:firstLine="0"/>
    </w:pPr>
  </w:style>
  <w:style w:type="paragraph" w:styleId="ListContinue4">
    <w:name w:val="List Continue 4"/>
    <w:basedOn w:val="List4"/>
    <w:rsid w:val="00A0199C"/>
    <w:pPr>
      <w:ind w:firstLine="0"/>
    </w:pPr>
  </w:style>
  <w:style w:type="paragraph" w:styleId="ListContinue5">
    <w:name w:val="List Continue 5"/>
    <w:basedOn w:val="List5"/>
    <w:rsid w:val="00A0199C"/>
    <w:pPr>
      <w:ind w:firstLine="0"/>
    </w:pPr>
  </w:style>
  <w:style w:type="paragraph" w:styleId="ListNumber3">
    <w:name w:val="List Number 3"/>
    <w:basedOn w:val="List3"/>
    <w:rsid w:val="00A0199C"/>
    <w:pPr>
      <w:numPr>
        <w:numId w:val="4"/>
      </w:numPr>
    </w:pPr>
  </w:style>
  <w:style w:type="paragraph" w:styleId="ListNumber4">
    <w:name w:val="List Number 4"/>
    <w:basedOn w:val="List4"/>
    <w:rsid w:val="00A0199C"/>
    <w:pPr>
      <w:numPr>
        <w:numId w:val="5"/>
      </w:numPr>
    </w:pPr>
  </w:style>
  <w:style w:type="paragraph" w:styleId="ListNumber5">
    <w:name w:val="List Number 5"/>
    <w:basedOn w:val="List5"/>
    <w:rsid w:val="00A0199C"/>
    <w:pPr>
      <w:numPr>
        <w:numId w:val="6"/>
      </w:numPr>
    </w:pPr>
  </w:style>
  <w:style w:type="paragraph" w:styleId="BlockText">
    <w:name w:val="Block Text"/>
    <w:basedOn w:val="Normal"/>
    <w:rsid w:val="00A019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9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99C"/>
    <w:rPr>
      <w:sz w:val="16"/>
      <w:vertAlign w:val="superscript"/>
    </w:rPr>
  </w:style>
  <w:style w:type="character" w:customStyle="1" w:styleId="Symbols">
    <w:name w:val="Symbols"/>
    <w:basedOn w:val="DefaultParagraphFont"/>
    <w:rsid w:val="00A0199C"/>
    <w:rPr>
      <w:rFonts w:ascii="Symbol" w:hAnsi="Symbol"/>
    </w:rPr>
  </w:style>
  <w:style w:type="character" w:customStyle="1" w:styleId="MenuOptions">
    <w:name w:val="Menu Options"/>
    <w:basedOn w:val="DefaultParagraphFont"/>
    <w:rsid w:val="00A019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99C"/>
    <w:rPr>
      <w:b/>
    </w:rPr>
  </w:style>
  <w:style w:type="character" w:customStyle="1" w:styleId="Underlined">
    <w:name w:val="Underlined"/>
    <w:basedOn w:val="DefaultParagraphFont"/>
    <w:rsid w:val="00A0199C"/>
    <w:rPr>
      <w:u w:val="single"/>
    </w:rPr>
  </w:style>
  <w:style w:type="paragraph" w:customStyle="1" w:styleId="TableBodyTextRight">
    <w:name w:val="Table Body Text Right"/>
    <w:basedOn w:val="TableBodyText"/>
    <w:rsid w:val="00A019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99C"/>
    <w:rPr>
      <w:sz w:val="18"/>
    </w:rPr>
  </w:style>
  <w:style w:type="paragraph" w:customStyle="1" w:styleId="BodySmallRight">
    <w:name w:val="Body Small Right"/>
    <w:basedOn w:val="BodyTextRight"/>
    <w:rsid w:val="00A0199C"/>
    <w:rPr>
      <w:sz w:val="18"/>
      <w:szCs w:val="18"/>
    </w:rPr>
  </w:style>
  <w:style w:type="paragraph" w:customStyle="1" w:styleId="MarginEdition">
    <w:name w:val="Margin Edition"/>
    <w:basedOn w:val="MarginNote"/>
    <w:rsid w:val="00A019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99C"/>
    <w:rPr>
      <w:sz w:val="2"/>
      <w:szCs w:val="2"/>
    </w:rPr>
  </w:style>
  <w:style w:type="character" w:customStyle="1" w:styleId="Small">
    <w:name w:val="Small"/>
    <w:basedOn w:val="DefaultParagraphFont"/>
    <w:rsid w:val="00A0199C"/>
    <w:rPr>
      <w:sz w:val="16"/>
    </w:rPr>
  </w:style>
  <w:style w:type="paragraph" w:customStyle="1" w:styleId="WideTable">
    <w:name w:val="Wide Table"/>
    <w:basedOn w:val="Normal"/>
    <w:rsid w:val="00A019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99C"/>
  </w:style>
  <w:style w:type="paragraph" w:styleId="Quote">
    <w:name w:val="Quote"/>
    <w:basedOn w:val="Heading1"/>
    <w:link w:val="QuoteChar"/>
    <w:qFormat/>
    <w:rsid w:val="00A019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9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99C"/>
    <w:pPr>
      <w:pageBreakBefore/>
    </w:pPr>
  </w:style>
  <w:style w:type="paragraph" w:customStyle="1" w:styleId="Border">
    <w:name w:val="Border"/>
    <w:basedOn w:val="Normal"/>
    <w:qFormat/>
    <w:rsid w:val="00A019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9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9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9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9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9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9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9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9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99C"/>
    <w:rPr>
      <w:u w:val="single"/>
    </w:rPr>
  </w:style>
  <w:style w:type="character" w:customStyle="1" w:styleId="BoldandItalics">
    <w:name w:val="Bold and Italics"/>
    <w:qFormat/>
    <w:rsid w:val="00A0199C"/>
    <w:rPr>
      <w:b/>
      <w:i/>
      <w:u w:val="none"/>
    </w:rPr>
  </w:style>
  <w:style w:type="paragraph" w:styleId="BalloonText">
    <w:name w:val="Balloon Text"/>
    <w:basedOn w:val="Normal"/>
    <w:link w:val="BalloonTextChar"/>
    <w:rsid w:val="00A019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9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9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9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9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9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5052</Characters>
  <Application>Microsoft Office Word</Application>
  <DocSecurity>0</DocSecurity>
  <Lines>240</Lines>
  <Paragraphs>116</Paragraphs>
  <ScaleCrop>false</ScaleCrop>
  <Company>Author-it Software Corporation Ltd.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MSFSL3008 Process coloured and textured glass by hand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2016-12-09T03:47:00Z</dcterms:created>
  <dcterms:modified xsi:type="dcterms:W3CDTF">2016-12-09T03:47:00Z</dcterms:modified>
</cp:coreProperties>
</file>