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6EE" w:rsidP="00E14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MSFSL3006 Assemble copper foil glass components</w:t>
      </w:r>
      <w:r>
        <w:fldChar w:fldCharType="end"/>
      </w:r>
    </w:p>
    <w:p w:rsidR="00E146EE" w:rsidP="00E146EE">
      <w:pPr>
        <w:pStyle w:val="Version"/>
        <w:sectPr w:rsidSect="00C02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558" w:rsidP="00C02558">
      <w:pPr>
        <w:pStyle w:val="SuperHeading"/>
      </w:pPr>
      <w:r w:rsidRPr="00C02558">
        <w:t>MSFSL3006 Assemble copper foil glass components</w:t>
      </w:r>
    </w:p>
    <w:p w:rsidR="00000000" w:rsidRPr="00C02558" w:rsidP="00C02558">
      <w:pPr>
        <w:pStyle w:val="Heading1"/>
      </w:pPr>
      <w:bookmarkStart w:id="1" w:name="O_846524"/>
      <w:bookmarkEnd w:id="1"/>
      <w:r w:rsidRPr="00C02558">
        <w:t>Modification History</w:t>
      </w:r>
    </w:p>
    <w:p w:rsidR="00000000" w:rsidRPr="00C02558" w:rsidP="00C02558">
      <w:pPr>
        <w:pStyle w:val="BodyText"/>
      </w:pPr>
      <w:r w:rsidRPr="00C02558">
        <w:t>Release 1. New unit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2" w:name="O_846525"/>
      <w:bookmarkEnd w:id="2"/>
      <w:r w:rsidRPr="00C02558">
        <w:t>Application</w:t>
      </w:r>
    </w:p>
    <w:p w:rsidR="00000000" w:rsidRPr="00C02558" w:rsidP="00C02558">
      <w:pPr>
        <w:pStyle w:val="BodyText"/>
      </w:pPr>
      <w:r w:rsidRPr="00C02558">
        <w:t>This unit specifies the skills and knowledge required to assemble copper foil components using a range of fixing and joining components.</w:t>
      </w:r>
    </w:p>
    <w:p w:rsidR="00000000" w:rsidRPr="00C02558" w:rsidP="00C02558">
      <w:pPr>
        <w:pStyle w:val="BodyText"/>
      </w:pPr>
    </w:p>
    <w:p w:rsidR="00000000" w:rsidRPr="00C02558" w:rsidP="00C02558">
      <w:pPr>
        <w:pStyle w:val="BodyText"/>
      </w:pPr>
      <w:r w:rsidRPr="00C02558">
        <w:t>No licensing, legislative or certification requi</w:t>
      </w:r>
      <w:r w:rsidRPr="00C02558">
        <w:t>rements apply to this unit at the time of publication.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3" w:name="O_846526"/>
      <w:bookmarkEnd w:id="3"/>
      <w:r w:rsidRPr="00C02558">
        <w:t>Pre-requisite Unit</w:t>
      </w:r>
    </w:p>
    <w:p w:rsidR="00000000" w:rsidRPr="00C02558" w:rsidP="00C02558">
      <w:pPr>
        <w:pStyle w:val="BodyText"/>
      </w:pPr>
      <w:r w:rsidRPr="00C02558">
        <w:t>Nil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4" w:name="O_846527"/>
      <w:bookmarkEnd w:id="4"/>
      <w:r w:rsidRPr="00C02558">
        <w:t>Competency Field</w:t>
      </w:r>
    </w:p>
    <w:p w:rsidR="00000000" w:rsidRPr="00C02558" w:rsidP="00C02558">
      <w:pPr>
        <w:pStyle w:val="Heading1"/>
      </w:pPr>
      <w:bookmarkStart w:id="5" w:name="O_846528"/>
      <w:bookmarkEnd w:id="5"/>
      <w:r w:rsidRPr="00C02558">
        <w:t>Unit Sector</w:t>
      </w:r>
    </w:p>
    <w:p w:rsidR="00000000" w:rsidRPr="00C02558" w:rsidP="00C02558">
      <w:pPr>
        <w:pStyle w:val="BodyText"/>
      </w:pPr>
      <w:r w:rsidRPr="00C02558">
        <w:t>Leadlight and stained glass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6" w:name="O_846529"/>
      <w:bookmarkEnd w:id="6"/>
      <w:r w:rsidRPr="00C025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Elements describe th</w:t>
            </w:r>
            <w:r w:rsidRPr="00C02558">
              <w:t>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Performance criteria describe the performance needed to demonstrate achievement of the element.</w:t>
            </w:r>
          </w:p>
        </w:tc>
      </w:tr>
    </w:tbl>
    <w:p w:rsidR="00000000" w:rsidRPr="00C02558" w:rsidP="00C025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Follow standard operating procedures (SOPs)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Comply with work health and safety (WHS) requirements at all times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Use appropriate personal protective equipment (PPE) in accordance with SOPs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Identify job requirements from specifications, drawings, designs, job sheets or work instructions</w:t>
            </w:r>
          </w:p>
        </w:tc>
      </w:tr>
    </w:tbl>
    <w:p w:rsidR="00000000" w:rsidRPr="00C02558" w:rsidP="00C025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 xml:space="preserve">Carry out service on selected tools and equipment, including identifying/rectifying or reporting any faults prior to commencement 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Identify and obtain materials appropriate to the work application ensuring they are p</w:t>
            </w:r>
            <w:r w:rsidRPr="00C02558">
              <w:t>repared, safely handled and located ready for use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 xml:space="preserve">Identify and apply environmental workplace considerations and measures to reduce noise, dust and obstacles 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Plan assembly sequence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Select fixing and joining devices in accordance with types of materials to be joined and work instructions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Select and check jigs for suitability of purpose</w:t>
            </w:r>
          </w:p>
        </w:tc>
      </w:tr>
    </w:tbl>
    <w:p w:rsidR="00000000" w:rsidRPr="00C02558" w:rsidP="00C025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Assemble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 xml:space="preserve">Lay out and assemble components using </w:t>
            </w:r>
            <w:r w:rsidRPr="00C02558">
              <w:t>jigs and appropriate fastenings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Use hand and power tools as required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Check assembled work for compliance with specifications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Prepare, assemble and fit components in accordance with specifications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Repair or tag work which does not meet quality specifications for further processing or recycling/disposal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Organise and store finished products in holding area</w:t>
            </w:r>
          </w:p>
        </w:tc>
      </w:tr>
    </w:tbl>
    <w:p w:rsidR="00000000" w:rsidRPr="00C02558" w:rsidP="00C025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Tag and report faulty and/or defective equ</w:t>
            </w:r>
            <w:r w:rsidRPr="00C02558">
              <w:t>ipment in accordance with workplace procedures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Remove waste and scrap material for disposal and/or recycling as required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Clean, check and maintain tools and equipment in accordance with manufacturers’ recommendations and SOPs</w:t>
            </w:r>
          </w:p>
        </w:tc>
      </w:tr>
      <w:tr w:rsidTr="00C02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Maintain work area in accordance with SOPs</w:t>
            </w:r>
          </w:p>
        </w:tc>
      </w:tr>
    </w:tbl>
    <w:p w:rsidR="00000000" w:rsidRPr="00C02558" w:rsidP="00C02558">
      <w:pPr>
        <w:pStyle w:val="BodyText"/>
      </w:pP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7" w:name="O_846530"/>
      <w:bookmarkEnd w:id="7"/>
      <w:r w:rsidRPr="00C02558">
        <w:t>Foundation Skills</w:t>
      </w:r>
    </w:p>
    <w:p w:rsidR="00000000" w:rsidRPr="00C02558" w:rsidP="00C02558">
      <w:pPr>
        <w:pStyle w:val="BodyText"/>
      </w:pPr>
      <w:r w:rsidRPr="00C02558">
        <w:t>This section describes those required skills (reading, writing, oral communication and numeracy) that are essential to workplace performance in this unit of competency.</w:t>
      </w:r>
    </w:p>
    <w:p w:rsidR="00000000" w:rsidRPr="00C02558" w:rsidP="00C02558">
      <w:pPr>
        <w:pStyle w:val="BodyText"/>
      </w:pPr>
    </w:p>
    <w:p w:rsidR="00000000" w:rsidRPr="00C02558" w:rsidP="00C02558">
      <w:pPr>
        <w:pStyle w:val="BodyText"/>
      </w:pPr>
      <w:r w:rsidRPr="00C02558">
        <w:t>Foundation skills essential to performance are explicit in the performance criteria of this unit of competency.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8" w:name="O_846531"/>
      <w:bookmarkEnd w:id="8"/>
      <w:r w:rsidRPr="00C0255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t>This field allows for different work environments and conditions that may affect performance. Essential ope</w:t>
            </w:r>
            <w:r w:rsidRPr="00C0255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ListBullet"/>
            </w:pPr>
            <w:r w:rsidRPr="00C02558">
              <w:t>WHS requirements, including legislation, building c</w:t>
            </w:r>
            <w:r w:rsidRPr="00C02558">
              <w:t>odes, material safety management systems, hazardous and dangerous goods codes and local safe operating procedures or equivalent</w:t>
            </w:r>
          </w:p>
          <w:p w:rsidR="00000000" w:rsidRPr="00C02558" w:rsidP="00C02558">
            <w:pPr>
              <w:pStyle w:val="ListBullet"/>
            </w:pPr>
            <w:r w:rsidRPr="00C02558">
              <w:t>work is carried out in accordance with legislative obligations, environmental legislation, relevant health regulations, manual handling procedures and organisation insurance requirements</w:t>
            </w:r>
          </w:p>
          <w:p w:rsidR="00000000" w:rsidRPr="00C02558" w:rsidP="00C02558">
            <w:pPr>
              <w:pStyle w:val="ListBullet"/>
            </w:pPr>
            <w:r w:rsidRPr="00C02558">
              <w:t>work requires individuals to demonstrate some discretion, judgement a</w:t>
            </w:r>
            <w:r w:rsidRPr="00C02558">
              <w:t>nd problem solving</w:t>
            </w:r>
          </w:p>
          <w:p w:rsidR="00000000" w:rsidP="00C02558">
            <w:pPr>
              <w:pStyle w:val="BodyText"/>
              <w:rPr>
                <w:lang w:val="en-NZ"/>
              </w:rPr>
            </w:pP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ListBullet"/>
            </w:pPr>
            <w:r w:rsidRPr="00C02558">
              <w:t xml:space="preserve">panels and components thereof </w:t>
            </w:r>
          </w:p>
          <w:p w:rsidR="00000000" w:rsidRPr="00C02558" w:rsidP="00C02558">
            <w:pPr>
              <w:pStyle w:val="ListBullet"/>
            </w:pPr>
            <w:r w:rsidRPr="00C02558">
              <w:t>three-dimensional objects, lamps and sculptures</w:t>
            </w:r>
          </w:p>
          <w:p w:rsidR="00000000" w:rsidRPr="00C02558" w:rsidP="00C02558">
            <w:pPr>
              <w:pStyle w:val="ListBullet"/>
            </w:pPr>
            <w:r w:rsidRPr="00C02558">
              <w:t>repair process</w:t>
            </w:r>
          </w:p>
          <w:p w:rsidR="00000000" w:rsidP="00C02558">
            <w:pPr>
              <w:pStyle w:val="BodyText"/>
              <w:rPr>
                <w:lang w:val="en-NZ"/>
              </w:rPr>
            </w:pP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ListBullet"/>
            </w:pPr>
            <w:r w:rsidRPr="00C02558">
              <w:t>benches</w:t>
            </w:r>
          </w:p>
          <w:p w:rsidR="00000000" w:rsidRPr="00C02558" w:rsidP="00C02558">
            <w:pPr>
              <w:pStyle w:val="ListBullet"/>
            </w:pPr>
            <w:r w:rsidRPr="00C02558">
              <w:t>light boxes</w:t>
            </w:r>
          </w:p>
          <w:p w:rsidR="00000000" w:rsidRPr="00C02558" w:rsidP="00C02558">
            <w:pPr>
              <w:pStyle w:val="ListBullet"/>
            </w:pPr>
            <w:r w:rsidRPr="00C02558">
              <w:t>gl</w:t>
            </w:r>
            <w:r w:rsidRPr="00C02558">
              <w:t>ass grinders</w:t>
            </w:r>
          </w:p>
          <w:p w:rsidR="00000000" w:rsidRPr="00C02558" w:rsidP="00C02558">
            <w:pPr>
              <w:pStyle w:val="ListBullet"/>
            </w:pPr>
            <w:r w:rsidRPr="00C02558">
              <w:t>lead knifes</w:t>
            </w:r>
          </w:p>
          <w:p w:rsidR="00000000" w:rsidRPr="00C02558" w:rsidP="00C02558">
            <w:pPr>
              <w:pStyle w:val="ListBullet"/>
            </w:pPr>
            <w:r w:rsidRPr="00C02558">
              <w:t>foil dispensers</w:t>
            </w:r>
          </w:p>
          <w:p w:rsidR="00000000" w:rsidRPr="00C02558" w:rsidP="00C02558">
            <w:pPr>
              <w:pStyle w:val="ListBullet"/>
            </w:pPr>
            <w:r w:rsidRPr="00C02558">
              <w:t>lathekins</w:t>
            </w:r>
          </w:p>
          <w:p w:rsidR="00000000" w:rsidRPr="00C02558" w:rsidP="00C02558">
            <w:pPr>
              <w:pStyle w:val="ListBullet"/>
            </w:pPr>
            <w:r w:rsidRPr="00C02558">
              <w:t>farrier nails</w:t>
            </w:r>
          </w:p>
          <w:p w:rsidR="00000000" w:rsidRPr="00C02558" w:rsidP="00C02558">
            <w:pPr>
              <w:pStyle w:val="ListBullet"/>
            </w:pPr>
            <w:r w:rsidRPr="00C02558">
              <w:t>glass cutters</w:t>
            </w:r>
          </w:p>
          <w:p w:rsidR="00000000" w:rsidRPr="00C02558" w:rsidP="00C02558">
            <w:pPr>
              <w:pStyle w:val="ListBullet"/>
            </w:pPr>
            <w:r w:rsidRPr="00C02558">
              <w:t>grozing and small running pliers</w:t>
            </w:r>
          </w:p>
          <w:p w:rsidR="00000000" w:rsidRPr="00C02558" w:rsidP="00C02558">
            <w:pPr>
              <w:pStyle w:val="ListBullet"/>
            </w:pPr>
            <w:r w:rsidRPr="00C02558">
              <w:t>soldering irons and bits</w:t>
            </w:r>
          </w:p>
          <w:p w:rsidR="00000000" w:rsidRPr="00C02558" w:rsidP="00C02558">
            <w:pPr>
              <w:pStyle w:val="ListBullet"/>
            </w:pPr>
            <w:r w:rsidRPr="00C02558">
              <w:t>reinforcement materials</w:t>
            </w:r>
          </w:p>
          <w:p w:rsidR="00000000" w:rsidRPr="00C02558" w:rsidP="00C02558">
            <w:pPr>
              <w:pStyle w:val="ListBullet"/>
            </w:pPr>
            <w:r w:rsidRPr="00C02558">
              <w:t>cleaning and polishing brushes</w:t>
            </w:r>
          </w:p>
          <w:p w:rsidR="00000000" w:rsidRPr="00C02558" w:rsidP="00C02558">
            <w:pPr>
              <w:pStyle w:val="ListBullet"/>
            </w:pPr>
            <w:r w:rsidRPr="00C02558">
              <w:t>pickers</w:t>
            </w:r>
          </w:p>
          <w:p w:rsidR="00000000" w:rsidP="00C02558">
            <w:pPr>
              <w:pStyle w:val="BodyText"/>
              <w:rPr>
                <w:lang w:val="en-NZ"/>
              </w:rPr>
            </w:pP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ListBullet"/>
            </w:pPr>
            <w:r w:rsidRPr="00C02558">
              <w:t>coloured/plain glass</w:t>
            </w:r>
          </w:p>
          <w:p w:rsidR="00000000" w:rsidRPr="00C02558" w:rsidP="00C02558">
            <w:pPr>
              <w:pStyle w:val="ListBullet"/>
            </w:pPr>
            <w:r w:rsidRPr="00C02558">
              <w:t>patterns/templates</w:t>
            </w:r>
          </w:p>
          <w:p w:rsidR="00000000" w:rsidRPr="00C02558" w:rsidP="00C02558">
            <w:pPr>
              <w:pStyle w:val="ListBullet"/>
            </w:pPr>
            <w:r w:rsidRPr="00C02558">
              <w:t>patinas</w:t>
            </w:r>
          </w:p>
          <w:p w:rsidR="00000000" w:rsidRPr="00C02558" w:rsidP="00C02558">
            <w:pPr>
              <w:pStyle w:val="ListBullet"/>
            </w:pPr>
            <w:r w:rsidRPr="00C02558">
              <w:t>ornamental fittings</w:t>
            </w:r>
          </w:p>
          <w:p w:rsidR="00000000" w:rsidRPr="00C02558" w:rsidP="00C02558">
            <w:pPr>
              <w:pStyle w:val="ListBullet"/>
            </w:pPr>
            <w:r w:rsidRPr="00C02558">
              <w:t>copper foil</w:t>
            </w:r>
          </w:p>
          <w:p w:rsidR="00000000" w:rsidRPr="00C02558" w:rsidP="00C02558">
            <w:pPr>
              <w:pStyle w:val="ListBullet"/>
            </w:pPr>
            <w:r w:rsidRPr="00C02558">
              <w:t>solders and fluxes</w:t>
            </w:r>
          </w:p>
          <w:p w:rsidR="00000000" w:rsidP="00C02558">
            <w:pPr>
              <w:pStyle w:val="BodyText"/>
              <w:rPr>
                <w:lang w:val="en-NZ"/>
              </w:rPr>
            </w:pP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BodyText"/>
            </w:pPr>
            <w:r w:rsidRPr="00C02558">
              <w:t>That prescribed under legislation, regulations and enterprise policies and practices, including:</w:t>
            </w:r>
          </w:p>
          <w:p w:rsidR="00000000" w:rsidRPr="00C02558" w:rsidP="00C02558">
            <w:pPr>
              <w:pStyle w:val="ListBullet"/>
            </w:pPr>
            <w:r w:rsidRPr="00C02558">
              <w:t>industry standard PPE for manual handling glass</w:t>
            </w:r>
          </w:p>
          <w:p w:rsidR="00000000" w:rsidRPr="00C02558" w:rsidP="00C02558">
            <w:pPr>
              <w:pStyle w:val="ListBullet"/>
            </w:pPr>
            <w:r w:rsidRPr="00C02558">
              <w:t>safety glasses</w:t>
            </w:r>
          </w:p>
          <w:p w:rsidR="00000000" w:rsidRPr="00C02558" w:rsidP="00C02558">
            <w:pPr>
              <w:pStyle w:val="ListBullet"/>
            </w:pPr>
            <w:r w:rsidRPr="00C02558">
              <w:t>respirator masks, ventilation or extraction systems for soldering</w:t>
            </w:r>
          </w:p>
          <w:p w:rsidR="00000000" w:rsidRPr="00C02558" w:rsidP="00C02558">
            <w:pPr>
              <w:pStyle w:val="ListBullet"/>
            </w:pPr>
            <w:r w:rsidRPr="00C02558">
              <w:t>safety footwear</w:t>
            </w:r>
          </w:p>
          <w:p w:rsidR="00000000" w:rsidRPr="00C02558" w:rsidP="00C02558">
            <w:pPr>
              <w:pStyle w:val="ListBullet"/>
            </w:pPr>
            <w:r w:rsidRPr="00C02558">
              <w:t>work wear</w:t>
            </w:r>
          </w:p>
          <w:p w:rsidR="00000000" w:rsidP="00C02558">
            <w:pPr>
              <w:pStyle w:val="BodyText"/>
              <w:rPr>
                <w:lang w:val="en-NZ"/>
              </w:rPr>
            </w:pPr>
          </w:p>
        </w:tc>
      </w:tr>
      <w:tr w:rsidTr="00E1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558">
            <w:pPr>
              <w:pStyle w:val="BodyText"/>
              <w:rPr>
                <w:lang w:val="en-NZ"/>
              </w:rPr>
            </w:pPr>
            <w:r w:rsidRPr="00C02558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558" w:rsidP="00C02558">
            <w:pPr>
              <w:pStyle w:val="ListBullet"/>
            </w:pPr>
            <w:r w:rsidRPr="00C02558">
              <w:t>workplace procedures relating to the use and operation of tools and equipment and PPE</w:t>
            </w:r>
          </w:p>
          <w:p w:rsidR="00000000" w:rsidRPr="00C02558" w:rsidP="00C02558">
            <w:pPr>
              <w:pStyle w:val="ListBullet"/>
            </w:pPr>
            <w:r w:rsidRPr="00C02558">
              <w:t>workplace instructions, including job sheets, cutting lists, plans, drawings and designs</w:t>
            </w:r>
          </w:p>
          <w:p w:rsidR="00000000" w:rsidRPr="00C02558" w:rsidP="00C02558">
            <w:pPr>
              <w:pStyle w:val="ListBullet"/>
            </w:pPr>
            <w:r w:rsidRPr="00C02558">
              <w:t>workplace procedures relating to reporting and communications</w:t>
            </w:r>
          </w:p>
          <w:p w:rsidR="00000000" w:rsidRPr="00C02558" w:rsidP="00C02558">
            <w:pPr>
              <w:pStyle w:val="ListBullet"/>
            </w:pPr>
            <w:r w:rsidRPr="00C02558">
              <w:t>manufacturer specif</w:t>
            </w:r>
            <w:r w:rsidRPr="00C02558">
              <w:t>ications and operational procedures</w:t>
            </w:r>
          </w:p>
          <w:p w:rsidR="00000000" w:rsidRPr="00C02558" w:rsidP="00C02558">
            <w:pPr>
              <w:pStyle w:val="BodyText"/>
            </w:pPr>
          </w:p>
        </w:tc>
      </w:tr>
    </w:tbl>
    <w:p w:rsidR="00000000" w:rsidRPr="00C02558" w:rsidP="00C02558">
      <w:pPr>
        <w:pStyle w:val="BodyText"/>
      </w:pP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9" w:name="O_846532"/>
      <w:bookmarkEnd w:id="9"/>
      <w:r w:rsidRPr="00C02558">
        <w:t>Unit Mapping Information</w:t>
      </w:r>
    </w:p>
    <w:p w:rsidR="00000000" w:rsidRPr="00C02558" w:rsidP="00C02558">
      <w:pPr>
        <w:pStyle w:val="BodyText"/>
      </w:pPr>
      <w:r w:rsidRPr="00C02558">
        <w:t>New Unit</w:t>
      </w:r>
    </w:p>
    <w:p w:rsidR="00000000" w:rsidRPr="00C02558" w:rsidP="00C02558">
      <w:pPr>
        <w:pStyle w:val="AllowPageBreak"/>
      </w:pPr>
    </w:p>
    <w:p w:rsidR="00000000" w:rsidRPr="00C02558" w:rsidP="00C02558">
      <w:pPr>
        <w:pStyle w:val="Heading1"/>
      </w:pPr>
      <w:bookmarkStart w:id="10" w:name="O_846539"/>
      <w:bookmarkEnd w:id="10"/>
      <w:r w:rsidRPr="00C02558">
        <w:t>Links</w:t>
      </w:r>
    </w:p>
    <w:p w:rsidR="00000000" w:rsidRPr="00C02558" w:rsidP="00C02558">
      <w:pPr>
        <w:pStyle w:val="BodyText"/>
      </w:pPr>
      <w:r w:rsidRPr="00C02558">
        <w:t>Companion Volume implementation guides are found in VETNet - https://vetnet.education.gov.au/Pages/TrainingDocs.aspx?q=0601ab95-583a-4e93-b2d4-</w:t>
      </w:r>
      <w:r w:rsidRPr="00C02558">
        <w:t>cfb27b03ed73</w:t>
      </w:r>
    </w:p>
    <w:p w:rsidR="00000000" w:rsidRPr="00C02558" w:rsidP="00C02558"/>
    <w:sectPr w:rsidSect="00C025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58" w:rsidRPr="00E146EE" w:rsidP="00E14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EE" w:rsidP="00C02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6EE" w:rsidP="00C02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46EE" w:rsidP="00C02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558" w:rsidRPr="00E146EE" w:rsidP="00E14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6EE" w:rsidRPr="002D2AF8" w:rsidP="00C02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MSFSL3006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146EE" w:rsidP="00C02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67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EA8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558"/>
  </w:style>
  <w:style w:type="character" w:customStyle="1" w:styleId="Heading1Char">
    <w:name w:val="Heading 1 Char"/>
    <w:basedOn w:val="DefaultParagraphFont"/>
    <w:link w:val="Heading1"/>
    <w:rsid w:val="00C02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5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5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558"/>
    <w:rPr>
      <w:b/>
      <w:spacing w:val="0"/>
    </w:rPr>
  </w:style>
  <w:style w:type="paragraph" w:customStyle="1" w:styleId="SuperHeading">
    <w:name w:val="SuperHeading"/>
    <w:basedOn w:val="Normal"/>
    <w:rsid w:val="00C02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55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558"/>
    <w:rPr>
      <w:i/>
    </w:rPr>
  </w:style>
  <w:style w:type="paragraph" w:styleId="Caption">
    <w:name w:val="caption"/>
    <w:basedOn w:val="BodyText"/>
    <w:next w:val="Normal"/>
    <w:qFormat/>
    <w:rsid w:val="00C02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558"/>
  </w:style>
  <w:style w:type="paragraph" w:styleId="TableofFigures">
    <w:name w:val="table of figures"/>
    <w:basedOn w:val="Normal"/>
    <w:next w:val="Normal"/>
    <w:semiHidden/>
    <w:rsid w:val="00C02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558"/>
    <w:pPr>
      <w:numPr>
        <w:numId w:val="10"/>
      </w:numPr>
    </w:pPr>
  </w:style>
  <w:style w:type="character" w:customStyle="1" w:styleId="WingdingSymbols">
    <w:name w:val="Wingding Symbols"/>
    <w:rsid w:val="00C02558"/>
    <w:rPr>
      <w:rFonts w:ascii="Wingdings" w:hAnsi="Wingdings"/>
    </w:rPr>
  </w:style>
  <w:style w:type="paragraph" w:customStyle="1" w:styleId="TableHeading">
    <w:name w:val="Table Heading"/>
    <w:basedOn w:val="HeadingBase"/>
    <w:rsid w:val="00C02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558"/>
    <w:rPr>
      <w:color w:val="0033CC"/>
      <w:u w:val="none"/>
    </w:rPr>
  </w:style>
  <w:style w:type="paragraph" w:customStyle="1" w:styleId="BodyTextRight">
    <w:name w:val="Body Text Right"/>
    <w:basedOn w:val="BodyText"/>
    <w:rsid w:val="00C02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558"/>
    <w:rPr>
      <w:sz w:val="32"/>
    </w:rPr>
  </w:style>
  <w:style w:type="paragraph" w:customStyle="1" w:styleId="HeadingProcedure">
    <w:name w:val="Heading Procedure"/>
    <w:basedOn w:val="HeadingBase"/>
    <w:next w:val="Normal"/>
    <w:rsid w:val="00C02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558"/>
    <w:pPr>
      <w:spacing w:before="60" w:after="60"/>
    </w:pPr>
  </w:style>
  <w:style w:type="paragraph" w:styleId="ListContinue">
    <w:name w:val="List Continue"/>
    <w:basedOn w:val="List"/>
    <w:rsid w:val="00C02558"/>
    <w:pPr>
      <w:ind w:firstLine="0"/>
    </w:pPr>
  </w:style>
  <w:style w:type="paragraph" w:customStyle="1" w:styleId="ListNote">
    <w:name w:val="List Note"/>
    <w:basedOn w:val="List"/>
    <w:rsid w:val="00C02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558"/>
    <w:rPr>
      <w:rFonts w:ascii="Courier New" w:hAnsi="Courier New"/>
    </w:rPr>
  </w:style>
  <w:style w:type="paragraph" w:customStyle="1" w:styleId="NoteBullet">
    <w:name w:val="Note Bullet"/>
    <w:basedOn w:val="Note"/>
    <w:rsid w:val="00C02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5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558"/>
    <w:rPr>
      <w:b/>
      <w:smallCaps/>
    </w:rPr>
  </w:style>
  <w:style w:type="paragraph" w:customStyle="1" w:styleId="TableListNumber">
    <w:name w:val="Table List Number"/>
    <w:basedOn w:val="ListNumber"/>
    <w:rsid w:val="00C02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558"/>
    <w:pPr>
      <w:numPr>
        <w:numId w:val="8"/>
      </w:numPr>
    </w:pPr>
  </w:style>
  <w:style w:type="paragraph" w:customStyle="1" w:styleId="ListAlpha2">
    <w:name w:val="List Alpha 2"/>
    <w:basedOn w:val="List2"/>
    <w:rsid w:val="00C02558"/>
    <w:pPr>
      <w:numPr>
        <w:numId w:val="7"/>
      </w:numPr>
    </w:pPr>
  </w:style>
  <w:style w:type="paragraph" w:styleId="List2">
    <w:name w:val="List 2"/>
    <w:basedOn w:val="BodyText"/>
    <w:rsid w:val="00C02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5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558"/>
    <w:pPr>
      <w:numPr>
        <w:numId w:val="3"/>
      </w:numPr>
    </w:pPr>
  </w:style>
  <w:style w:type="paragraph" w:styleId="ListContinue2">
    <w:name w:val="List Continue 2"/>
    <w:basedOn w:val="List2"/>
    <w:rsid w:val="00C02558"/>
    <w:pPr>
      <w:ind w:firstLine="0"/>
    </w:pPr>
  </w:style>
  <w:style w:type="paragraph" w:styleId="ListContinue3">
    <w:name w:val="List Continue 3"/>
    <w:basedOn w:val="List3"/>
    <w:rsid w:val="00C02558"/>
    <w:pPr>
      <w:ind w:left="1021" w:firstLine="0"/>
    </w:pPr>
  </w:style>
  <w:style w:type="paragraph" w:styleId="ListContinue4">
    <w:name w:val="List Continue 4"/>
    <w:basedOn w:val="List4"/>
    <w:rsid w:val="00C02558"/>
    <w:pPr>
      <w:ind w:firstLine="0"/>
    </w:pPr>
  </w:style>
  <w:style w:type="paragraph" w:styleId="ListContinue5">
    <w:name w:val="List Continue 5"/>
    <w:basedOn w:val="List5"/>
    <w:rsid w:val="00C02558"/>
    <w:pPr>
      <w:ind w:firstLine="0"/>
    </w:pPr>
  </w:style>
  <w:style w:type="paragraph" w:styleId="ListNumber3">
    <w:name w:val="List Number 3"/>
    <w:basedOn w:val="List3"/>
    <w:rsid w:val="00C02558"/>
    <w:pPr>
      <w:numPr>
        <w:numId w:val="4"/>
      </w:numPr>
    </w:pPr>
  </w:style>
  <w:style w:type="paragraph" w:styleId="ListNumber4">
    <w:name w:val="List Number 4"/>
    <w:basedOn w:val="List4"/>
    <w:rsid w:val="00C02558"/>
    <w:pPr>
      <w:numPr>
        <w:numId w:val="5"/>
      </w:numPr>
    </w:pPr>
  </w:style>
  <w:style w:type="paragraph" w:styleId="ListNumber5">
    <w:name w:val="List Number 5"/>
    <w:basedOn w:val="List5"/>
    <w:rsid w:val="00C02558"/>
    <w:pPr>
      <w:numPr>
        <w:numId w:val="6"/>
      </w:numPr>
    </w:pPr>
  </w:style>
  <w:style w:type="paragraph" w:styleId="BlockText">
    <w:name w:val="Block Text"/>
    <w:basedOn w:val="Normal"/>
    <w:rsid w:val="00C02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558"/>
    <w:rPr>
      <w:sz w:val="16"/>
      <w:vertAlign w:val="superscript"/>
    </w:rPr>
  </w:style>
  <w:style w:type="character" w:customStyle="1" w:styleId="Symbols">
    <w:name w:val="Symbols"/>
    <w:basedOn w:val="DefaultParagraphFont"/>
    <w:rsid w:val="00C02558"/>
    <w:rPr>
      <w:rFonts w:ascii="Symbol" w:hAnsi="Symbol"/>
    </w:rPr>
  </w:style>
  <w:style w:type="character" w:customStyle="1" w:styleId="MenuOptions">
    <w:name w:val="Menu Options"/>
    <w:basedOn w:val="DefaultParagraphFont"/>
    <w:rsid w:val="00C02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558"/>
    <w:rPr>
      <w:b/>
    </w:rPr>
  </w:style>
  <w:style w:type="character" w:customStyle="1" w:styleId="Underlined">
    <w:name w:val="Underlined"/>
    <w:basedOn w:val="DefaultParagraphFont"/>
    <w:rsid w:val="00C02558"/>
    <w:rPr>
      <w:u w:val="single"/>
    </w:rPr>
  </w:style>
  <w:style w:type="paragraph" w:customStyle="1" w:styleId="TableBodyTextRight">
    <w:name w:val="Table Body Text Right"/>
    <w:basedOn w:val="TableBodyText"/>
    <w:rsid w:val="00C02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558"/>
    <w:rPr>
      <w:sz w:val="18"/>
    </w:rPr>
  </w:style>
  <w:style w:type="paragraph" w:customStyle="1" w:styleId="BodySmallRight">
    <w:name w:val="Body Small Right"/>
    <w:basedOn w:val="BodyTextRight"/>
    <w:rsid w:val="00C02558"/>
    <w:rPr>
      <w:sz w:val="18"/>
      <w:szCs w:val="18"/>
    </w:rPr>
  </w:style>
  <w:style w:type="paragraph" w:customStyle="1" w:styleId="MarginEdition">
    <w:name w:val="Margin Edition"/>
    <w:basedOn w:val="MarginNote"/>
    <w:rsid w:val="00C02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558"/>
    <w:rPr>
      <w:sz w:val="2"/>
      <w:szCs w:val="2"/>
    </w:rPr>
  </w:style>
  <w:style w:type="character" w:customStyle="1" w:styleId="Small">
    <w:name w:val="Small"/>
    <w:basedOn w:val="DefaultParagraphFont"/>
    <w:rsid w:val="00C02558"/>
    <w:rPr>
      <w:sz w:val="16"/>
    </w:rPr>
  </w:style>
  <w:style w:type="paragraph" w:customStyle="1" w:styleId="WideTable">
    <w:name w:val="Wide Table"/>
    <w:basedOn w:val="Normal"/>
    <w:rsid w:val="00C02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558"/>
  </w:style>
  <w:style w:type="paragraph" w:styleId="Quote">
    <w:name w:val="Quote"/>
    <w:basedOn w:val="Heading1"/>
    <w:link w:val="QuoteChar"/>
    <w:qFormat/>
    <w:rsid w:val="00C02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558"/>
    <w:pPr>
      <w:pageBreakBefore/>
    </w:pPr>
  </w:style>
  <w:style w:type="paragraph" w:customStyle="1" w:styleId="Border">
    <w:name w:val="Border"/>
    <w:basedOn w:val="Normal"/>
    <w:qFormat/>
    <w:rsid w:val="00C02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558"/>
    <w:rPr>
      <w:u w:val="single"/>
    </w:rPr>
  </w:style>
  <w:style w:type="character" w:customStyle="1" w:styleId="BoldandItalics">
    <w:name w:val="Bold and Italics"/>
    <w:qFormat/>
    <w:rsid w:val="00C02558"/>
    <w:rPr>
      <w:b/>
      <w:i/>
      <w:u w:val="none"/>
    </w:rPr>
  </w:style>
  <w:style w:type="paragraph" w:styleId="BalloonText">
    <w:name w:val="Balloon Text"/>
    <w:basedOn w:val="Normal"/>
    <w:link w:val="BalloonTextChar"/>
    <w:rsid w:val="00C02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5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5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4272</Characters>
  <Application>Microsoft Office Word</Application>
  <DocSecurity>0</DocSecurity>
  <Lines>220</Lines>
  <Paragraphs>114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MSFSL3006 Assemble copper foil glass components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2016-12-09T03:54:00Z</dcterms:created>
  <dcterms:modified xsi:type="dcterms:W3CDTF">2016-12-09T03:54:00Z</dcterms:modified>
</cp:coreProperties>
</file>