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518" w:rsidP="00D36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MSFSL3006 Assemble copper foil glass components</w:t>
      </w:r>
      <w:r>
        <w:fldChar w:fldCharType="end"/>
      </w:r>
    </w:p>
    <w:p w:rsidR="00D36518" w:rsidP="00D36518">
      <w:pPr>
        <w:pStyle w:val="Version"/>
        <w:sectPr w:rsidSect="00085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B89" w:rsidP="00085B89">
      <w:pPr>
        <w:pStyle w:val="SuperHeading"/>
      </w:pPr>
      <w:r w:rsidRPr="00085B89">
        <w:t>Assessment Requirements for MSFSL3006 Assemble copper foil glass components</w:t>
      </w:r>
    </w:p>
    <w:p w:rsidR="00000000" w:rsidRPr="00085B89" w:rsidP="00085B89">
      <w:pPr>
        <w:pStyle w:val="Heading1"/>
      </w:pPr>
      <w:bookmarkStart w:id="1" w:name="O_846534"/>
      <w:bookmarkEnd w:id="1"/>
      <w:r w:rsidRPr="00085B89">
        <w:t>Modification History</w:t>
      </w:r>
    </w:p>
    <w:p w:rsidR="00000000" w:rsidRPr="00085B89" w:rsidP="00085B89">
      <w:pPr>
        <w:pStyle w:val="BodyText"/>
      </w:pPr>
      <w:r w:rsidRPr="00085B89">
        <w:t>Release 1. New unit</w:t>
      </w:r>
    </w:p>
    <w:p w:rsidR="00000000" w:rsidRPr="00085B89" w:rsidP="00085B89">
      <w:pPr>
        <w:pStyle w:val="AllowPageBreak"/>
      </w:pPr>
    </w:p>
    <w:p w:rsidR="00000000" w:rsidRPr="00085B89" w:rsidP="00085B89">
      <w:pPr>
        <w:pStyle w:val="Heading1"/>
      </w:pPr>
      <w:bookmarkStart w:id="2" w:name="O_846535"/>
      <w:bookmarkEnd w:id="2"/>
      <w:r w:rsidRPr="00085B89">
        <w:t>Performance Evidence</w:t>
      </w:r>
    </w:p>
    <w:p w:rsidR="00000000" w:rsidRPr="00085B89" w:rsidP="00085B89">
      <w:pPr>
        <w:pStyle w:val="BodyText"/>
      </w:pPr>
      <w:r w:rsidRPr="00085B89">
        <w:t>Eviden</w:t>
      </w:r>
      <w:r w:rsidRPr="00085B89">
        <w:t>ce required to demonstrate competence in this unit must be relevant to and satisfy the requirements of the elements and performance criteria and include:</w:t>
      </w:r>
    </w:p>
    <w:p w:rsidR="00000000" w:rsidRPr="00085B89" w:rsidP="00085B89">
      <w:pPr>
        <w:pStyle w:val="ListBullet"/>
      </w:pPr>
      <w:r w:rsidRPr="00085B89">
        <w:t xml:space="preserve">following work instructions, SOPs and safe work practices </w:t>
      </w:r>
    </w:p>
    <w:p w:rsidR="00000000" w:rsidRPr="00085B89" w:rsidP="00085B89">
      <w:pPr>
        <w:pStyle w:val="ListBullet"/>
      </w:pPr>
      <w:r w:rsidRPr="00085B89">
        <w:t>identifying and interpreting specification</w:t>
      </w:r>
      <w:r w:rsidRPr="00085B89">
        <w:t>s, drawings, standards and other relevant information to assemble copper foil glass components</w:t>
      </w:r>
    </w:p>
    <w:p w:rsidR="00000000" w:rsidRPr="00085B89" w:rsidP="00085B89">
      <w:pPr>
        <w:pStyle w:val="ListBullet"/>
      </w:pPr>
      <w:r w:rsidRPr="00085B89">
        <w:t>applying safe handling requirements for equipment, products and materials, including the use of PPE</w:t>
      </w:r>
    </w:p>
    <w:p w:rsidR="00000000" w:rsidRPr="00085B89" w:rsidP="00085B89">
      <w:pPr>
        <w:pStyle w:val="ListBullet"/>
      </w:pPr>
      <w:r w:rsidRPr="00085B89">
        <w:t>identifying and selecting materials to be used in the work pr</w:t>
      </w:r>
      <w:r w:rsidRPr="00085B89">
        <w:t>ocess</w:t>
      </w:r>
    </w:p>
    <w:p w:rsidR="00000000" w:rsidRPr="00085B89" w:rsidP="00085B89">
      <w:pPr>
        <w:pStyle w:val="ListBullet"/>
      </w:pPr>
      <w:r w:rsidRPr="00085B89">
        <w:t>using mathematical ideas and techniques to complete measurements, including calculating area and estimating material requirements</w:t>
      </w:r>
    </w:p>
    <w:p w:rsidR="00000000" w:rsidRPr="00085B89" w:rsidP="00085B89">
      <w:pPr>
        <w:pStyle w:val="ListBullet"/>
      </w:pPr>
      <w:r w:rsidRPr="00085B89">
        <w:t>using tools and equipment in a safe and effective manner</w:t>
      </w:r>
    </w:p>
    <w:p w:rsidR="00000000" w:rsidRPr="00085B89" w:rsidP="00085B89">
      <w:pPr>
        <w:pStyle w:val="ListBullet"/>
      </w:pPr>
      <w:r w:rsidRPr="00085B89">
        <w:t>completing a minimum of:</w:t>
      </w:r>
    </w:p>
    <w:p w:rsidR="00000000" w:rsidRPr="00085B89" w:rsidP="00085B89">
      <w:pPr>
        <w:pStyle w:val="ListBullet2"/>
      </w:pPr>
      <w:r w:rsidRPr="00085B89">
        <w:t>assembling copper foil components, in</w:t>
      </w:r>
      <w:r w:rsidRPr="00085B89">
        <w:t>cluding one (1) panel or door insert and one (1) three-dimensional object to industry standards</w:t>
      </w:r>
    </w:p>
    <w:p w:rsidR="00000000" w:rsidRPr="00085B89" w:rsidP="00085B89">
      <w:pPr>
        <w:pStyle w:val="ListBullet2"/>
      </w:pPr>
      <w:r w:rsidRPr="00085B89">
        <w:t>repairing and reinforcing one (1) copper foil component</w:t>
      </w:r>
    </w:p>
    <w:p w:rsidR="00000000" w:rsidRPr="00085B89" w:rsidP="00085B89">
      <w:pPr>
        <w:pStyle w:val="ListBullet"/>
      </w:pPr>
      <w:r w:rsidRPr="00085B89">
        <w:t xml:space="preserve">disposing of waste and scrap material in accordance with environmental guidelines and </w:t>
      </w:r>
      <w:r w:rsidRPr="00085B89">
        <w:t>workplace procedures</w:t>
      </w:r>
    </w:p>
    <w:p w:rsidR="00000000" w:rsidRPr="00085B89" w:rsidP="00085B89">
      <w:pPr>
        <w:pStyle w:val="ListBullet"/>
      </w:pPr>
      <w:r w:rsidRPr="00085B89">
        <w:t>communicating and working effectively and safely with others.</w:t>
      </w:r>
    </w:p>
    <w:p w:rsidR="00000000" w:rsidRPr="00085B89" w:rsidP="00085B89">
      <w:pPr>
        <w:pStyle w:val="AllowPageBreak"/>
      </w:pPr>
    </w:p>
    <w:p w:rsidR="00000000" w:rsidRPr="00085B89" w:rsidP="00085B89">
      <w:pPr>
        <w:pStyle w:val="Heading1"/>
      </w:pPr>
      <w:bookmarkStart w:id="3" w:name="O_846536"/>
      <w:bookmarkEnd w:id="3"/>
      <w:r w:rsidRPr="00085B89">
        <w:t>Knowledge Evidence</w:t>
      </w:r>
    </w:p>
    <w:p w:rsidR="00000000" w:rsidRPr="00085B89" w:rsidP="00085B89">
      <w:pPr>
        <w:pStyle w:val="BodyText"/>
      </w:pPr>
      <w:r w:rsidRPr="00085B89">
        <w:t>Evidence required to demonstrate the required knowledge for this unit must be relevant to and satisfy the requirements of the elements an</w:t>
      </w:r>
      <w:r w:rsidRPr="00085B89">
        <w:t>d performance criteria and include knowledge of:</w:t>
      </w:r>
    </w:p>
    <w:p w:rsidR="00000000" w:rsidRPr="00085B89" w:rsidP="00085B89">
      <w:pPr>
        <w:pStyle w:val="ListBullet"/>
      </w:pPr>
      <w:r w:rsidRPr="00085B89">
        <w:t>safe work practices and procedures and use of PPE</w:t>
      </w:r>
    </w:p>
    <w:p w:rsidR="00000000" w:rsidRPr="00085B89" w:rsidP="00085B89">
      <w:pPr>
        <w:pStyle w:val="ListBullet"/>
      </w:pPr>
      <w:r w:rsidRPr="00085B89">
        <w:t>state or territory WHS legislation, regulations, standards and codes of practice relevant to the full range of processes for assembling copper foil componen</w:t>
      </w:r>
      <w:r w:rsidRPr="00085B89">
        <w:t xml:space="preserve">ts </w:t>
      </w:r>
    </w:p>
    <w:p w:rsidR="00000000" w:rsidRPr="00085B89" w:rsidP="00085B89">
      <w:pPr>
        <w:pStyle w:val="ListBullet"/>
      </w:pPr>
      <w:r w:rsidRPr="00085B89">
        <w:t>organisational and site standards, requirements, policies and procedures for component assembly</w:t>
      </w:r>
    </w:p>
    <w:p w:rsidR="00000000" w:rsidRPr="00085B89" w:rsidP="00085B89">
      <w:pPr>
        <w:pStyle w:val="ListBullet"/>
      </w:pPr>
      <w:r w:rsidRPr="00085B89">
        <w:t>environmental protection requirements relating to the disposal of waste material</w:t>
      </w:r>
    </w:p>
    <w:p w:rsidR="00000000" w:rsidRPr="00085B89" w:rsidP="00085B89">
      <w:pPr>
        <w:pStyle w:val="ListBullet"/>
      </w:pPr>
      <w:r w:rsidRPr="00085B89">
        <w:t>established communication channels and protocols</w:t>
      </w:r>
    </w:p>
    <w:p w:rsidR="00000000" w:rsidRPr="00085B89" w:rsidP="00085B89">
      <w:pPr>
        <w:pStyle w:val="ListBullet"/>
      </w:pPr>
      <w:r w:rsidRPr="00085B89">
        <w:t>relevant problem identific</w:t>
      </w:r>
      <w:r w:rsidRPr="00085B89">
        <w:t xml:space="preserve">ation and resolution </w:t>
      </w:r>
    </w:p>
    <w:p w:rsidR="00000000" w:rsidRPr="00085B89" w:rsidP="00085B89">
      <w:pPr>
        <w:pStyle w:val="ListBullet"/>
      </w:pPr>
      <w:r w:rsidRPr="00085B89">
        <w:t>types of tools and equipment and procedures for their safe use, operation and maintenance</w:t>
      </w:r>
    </w:p>
    <w:p w:rsidR="00000000" w:rsidRPr="00085B89" w:rsidP="00085B89">
      <w:pPr>
        <w:pStyle w:val="ListBullet"/>
      </w:pPr>
      <w:r w:rsidRPr="00085B89">
        <w:t>characteristics of copper foil components and materials used in assembly</w:t>
      </w:r>
    </w:p>
    <w:p w:rsidR="00000000" w:rsidRPr="00085B89" w:rsidP="00085B89">
      <w:pPr>
        <w:pStyle w:val="ListBullet"/>
      </w:pPr>
      <w:r w:rsidRPr="00085B89">
        <w:t xml:space="preserve">procedures for recording, reporting and maintenance of workplace records and information. </w:t>
      </w:r>
    </w:p>
    <w:p w:rsidR="00000000" w:rsidRPr="00085B89" w:rsidP="00085B89">
      <w:pPr>
        <w:pStyle w:val="AllowPageBreak"/>
      </w:pPr>
    </w:p>
    <w:p w:rsidR="00000000" w:rsidRPr="00085B89" w:rsidP="00085B89">
      <w:pPr>
        <w:pStyle w:val="Heading1"/>
      </w:pPr>
      <w:bookmarkStart w:id="4" w:name="O_846537"/>
      <w:bookmarkEnd w:id="4"/>
      <w:r w:rsidRPr="00085B89">
        <w:t>Assessment Conditions</w:t>
      </w:r>
    </w:p>
    <w:p w:rsidR="00000000" w:rsidRPr="00085B89" w:rsidP="00085B89">
      <w:pPr>
        <w:pStyle w:val="ListBullet"/>
      </w:pPr>
      <w:r w:rsidRPr="00085B89">
        <w:t>Assessors must:</w:t>
      </w:r>
    </w:p>
    <w:p w:rsidR="00000000" w:rsidRPr="00085B89" w:rsidP="00085B89">
      <w:pPr>
        <w:pStyle w:val="ListBullet2"/>
      </w:pPr>
      <w:r w:rsidRPr="00085B89">
        <w:t>satisfy the assessor competency requirements that are in place at the time of the assessment as set by the V</w:t>
      </w:r>
      <w:r w:rsidRPr="00085B89">
        <w:t>ET regulator</w:t>
      </w:r>
    </w:p>
    <w:p w:rsidR="00000000" w:rsidRPr="00085B89" w:rsidP="00085B89">
      <w:pPr>
        <w:pStyle w:val="ListBullet2"/>
      </w:pPr>
      <w:r w:rsidRPr="00085B89">
        <w:t>have vocational competency in assembling copper foil glass components at least to the level being assessed with relevant industry knowledge and experience</w:t>
      </w:r>
    </w:p>
    <w:p w:rsidR="00000000" w:rsidRPr="00085B89" w:rsidP="00085B89">
      <w:pPr>
        <w:pStyle w:val="ListBullet"/>
      </w:pPr>
      <w:r w:rsidRPr="00085B89">
        <w:t>Where possible assessment must occur in operational workplace situations. Where this is</w:t>
      </w:r>
      <w:r w:rsidRPr="00085B89">
        <w:t xml:space="preserve"> not possible or where personal safety or environmental damage are limiting factors, assessment must occur in a sufficiently rigorous simulated environment that reflects realistic operational workplace conditions that cover all aspects of workplace perform</w:t>
      </w:r>
      <w:r w:rsidRPr="00085B89">
        <w:t>ance, including environment, task skills, task management skills, contingency management skills and job role environment skills.</w:t>
      </w:r>
    </w:p>
    <w:p w:rsidR="00000000" w:rsidRPr="00085B89" w:rsidP="00085B89">
      <w:pPr>
        <w:pStyle w:val="ListBullet"/>
      </w:pPr>
      <w:r w:rsidRPr="00085B89">
        <w:t>Conditions for assessment must include access to all tools, equipment, materials and documentation required, including relevant</w:t>
      </w:r>
      <w:r w:rsidRPr="00085B89">
        <w:t xml:space="preserve"> workplace procedures, product and manufacturing specifications.</w:t>
      </w:r>
    </w:p>
    <w:p w:rsidR="00000000" w:rsidRPr="00085B89" w:rsidP="00085B89">
      <w:pPr>
        <w:pStyle w:val="ListBullet"/>
      </w:pPr>
      <w:r w:rsidRPr="00085B89">
        <w:t>Assessment processes and techniques must be appropriate to the language, literacy and numeracy requirements of the work being performed and the needs of the candidate.</w:t>
      </w:r>
    </w:p>
    <w:p w:rsidR="00000000" w:rsidRPr="00085B89" w:rsidP="00085B89">
      <w:pPr>
        <w:pStyle w:val="AllowPageBreak"/>
      </w:pPr>
    </w:p>
    <w:p w:rsidR="00000000" w:rsidRPr="00085B89" w:rsidP="00085B89">
      <w:pPr>
        <w:pStyle w:val="Heading1"/>
      </w:pPr>
      <w:bookmarkStart w:id="5" w:name="O_846540"/>
      <w:bookmarkEnd w:id="5"/>
      <w:r w:rsidRPr="00085B89">
        <w:t>Links</w:t>
      </w:r>
    </w:p>
    <w:p w:rsidR="00000000" w:rsidRPr="00085B89" w:rsidP="00085B89">
      <w:pPr>
        <w:pStyle w:val="BodyText"/>
      </w:pPr>
      <w:r w:rsidRPr="00085B89">
        <w:t>Companion Volume implementation guides are found in VETNet - https://vetnet.education.gov.au/Pages/TrainingDocs.aspx?q=0601ab95-583a-4e93-b2d4-cfb27b03ed73</w:t>
      </w:r>
    </w:p>
    <w:p w:rsidR="00000000" w:rsidRPr="00085B89" w:rsidP="00085B89"/>
    <w:sectPr w:rsidSect="00085B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89" w:rsidRPr="00D36518" w:rsidP="00D36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18" w:rsidP="00085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518" w:rsidP="00085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36518" w:rsidP="00085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B89" w:rsidRPr="00D36518" w:rsidP="00D36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18" w:rsidRPr="002D2AF8" w:rsidP="00085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MSFSL3006 Assemble copper foil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36518" w:rsidP="00085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56A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6B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0E0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B89"/>
  </w:style>
  <w:style w:type="character" w:customStyle="1" w:styleId="Heading1Char">
    <w:name w:val="Heading 1 Char"/>
    <w:basedOn w:val="DefaultParagraphFont"/>
    <w:link w:val="Heading1"/>
    <w:rsid w:val="00085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B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B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B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B89"/>
    <w:rPr>
      <w:b/>
      <w:spacing w:val="0"/>
    </w:rPr>
  </w:style>
  <w:style w:type="paragraph" w:customStyle="1" w:styleId="SuperTitle">
    <w:name w:val="SuperTitle"/>
    <w:basedOn w:val="Title"/>
    <w:rsid w:val="00085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B89"/>
    <w:rPr>
      <w:i/>
    </w:rPr>
  </w:style>
  <w:style w:type="paragraph" w:styleId="Caption">
    <w:name w:val="caption"/>
    <w:basedOn w:val="BodyText"/>
    <w:next w:val="Normal"/>
    <w:qFormat/>
    <w:rsid w:val="00085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B89"/>
  </w:style>
  <w:style w:type="paragraph" w:styleId="TableofFigures">
    <w:name w:val="table of figures"/>
    <w:basedOn w:val="Normal"/>
    <w:next w:val="Normal"/>
    <w:semiHidden/>
    <w:rsid w:val="00085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B89"/>
    <w:pPr>
      <w:numPr>
        <w:numId w:val="11"/>
      </w:numPr>
    </w:pPr>
  </w:style>
  <w:style w:type="character" w:customStyle="1" w:styleId="WingdingSymbols">
    <w:name w:val="Wingding Symbols"/>
    <w:rsid w:val="00085B89"/>
    <w:rPr>
      <w:rFonts w:ascii="Wingdings" w:hAnsi="Wingdings"/>
    </w:rPr>
  </w:style>
  <w:style w:type="paragraph" w:customStyle="1" w:styleId="TableHeading">
    <w:name w:val="Table Heading"/>
    <w:basedOn w:val="HeadingBase"/>
    <w:rsid w:val="00085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B89"/>
    <w:rPr>
      <w:color w:val="0033CC"/>
      <w:u w:val="none"/>
    </w:rPr>
  </w:style>
  <w:style w:type="paragraph" w:customStyle="1" w:styleId="BodyTextRight">
    <w:name w:val="Body Text Right"/>
    <w:basedOn w:val="BodyText"/>
    <w:rsid w:val="00085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B89"/>
    <w:rPr>
      <w:sz w:val="32"/>
    </w:rPr>
  </w:style>
  <w:style w:type="paragraph" w:customStyle="1" w:styleId="HeadingProcedure">
    <w:name w:val="Heading Procedure"/>
    <w:basedOn w:val="HeadingBase"/>
    <w:next w:val="Normal"/>
    <w:rsid w:val="00085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B89"/>
    <w:pPr>
      <w:spacing w:before="60" w:after="60"/>
    </w:pPr>
  </w:style>
  <w:style w:type="paragraph" w:styleId="ListContinue">
    <w:name w:val="List Continue"/>
    <w:basedOn w:val="List"/>
    <w:rsid w:val="00085B89"/>
    <w:pPr>
      <w:ind w:firstLine="0"/>
    </w:pPr>
  </w:style>
  <w:style w:type="paragraph" w:customStyle="1" w:styleId="ListNote">
    <w:name w:val="List Note"/>
    <w:basedOn w:val="List"/>
    <w:rsid w:val="00085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B89"/>
    <w:rPr>
      <w:rFonts w:ascii="Courier New" w:hAnsi="Courier New"/>
    </w:rPr>
  </w:style>
  <w:style w:type="paragraph" w:customStyle="1" w:styleId="NoteBullet">
    <w:name w:val="Note Bullet"/>
    <w:basedOn w:val="Note"/>
    <w:rsid w:val="00085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B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5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B89"/>
    <w:rPr>
      <w:b/>
      <w:smallCaps/>
    </w:rPr>
  </w:style>
  <w:style w:type="paragraph" w:customStyle="1" w:styleId="TableListNumber">
    <w:name w:val="Table List Number"/>
    <w:basedOn w:val="ListNumber"/>
    <w:rsid w:val="00085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B89"/>
    <w:pPr>
      <w:numPr>
        <w:numId w:val="9"/>
      </w:numPr>
    </w:pPr>
  </w:style>
  <w:style w:type="paragraph" w:customStyle="1" w:styleId="ListAlpha2">
    <w:name w:val="List Alpha 2"/>
    <w:basedOn w:val="List2"/>
    <w:rsid w:val="00085B89"/>
    <w:pPr>
      <w:numPr>
        <w:numId w:val="8"/>
      </w:numPr>
    </w:pPr>
  </w:style>
  <w:style w:type="paragraph" w:styleId="List2">
    <w:name w:val="List 2"/>
    <w:basedOn w:val="BodyText"/>
    <w:rsid w:val="00085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B8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B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B89"/>
    <w:pPr>
      <w:numPr>
        <w:numId w:val="4"/>
      </w:numPr>
    </w:pPr>
  </w:style>
  <w:style w:type="paragraph" w:styleId="ListContinue2">
    <w:name w:val="List Continue 2"/>
    <w:basedOn w:val="List2"/>
    <w:rsid w:val="00085B89"/>
    <w:pPr>
      <w:ind w:firstLine="0"/>
    </w:pPr>
  </w:style>
  <w:style w:type="paragraph" w:styleId="ListContinue3">
    <w:name w:val="List Continue 3"/>
    <w:basedOn w:val="List3"/>
    <w:rsid w:val="00085B89"/>
    <w:pPr>
      <w:ind w:left="1021" w:firstLine="0"/>
    </w:pPr>
  </w:style>
  <w:style w:type="paragraph" w:styleId="ListContinue4">
    <w:name w:val="List Continue 4"/>
    <w:basedOn w:val="List4"/>
    <w:rsid w:val="00085B89"/>
    <w:pPr>
      <w:ind w:firstLine="0"/>
    </w:pPr>
  </w:style>
  <w:style w:type="paragraph" w:styleId="ListContinue5">
    <w:name w:val="List Continue 5"/>
    <w:basedOn w:val="List5"/>
    <w:rsid w:val="00085B89"/>
    <w:pPr>
      <w:ind w:firstLine="0"/>
    </w:pPr>
  </w:style>
  <w:style w:type="paragraph" w:styleId="ListNumber3">
    <w:name w:val="List Number 3"/>
    <w:basedOn w:val="List3"/>
    <w:rsid w:val="00085B89"/>
    <w:pPr>
      <w:numPr>
        <w:numId w:val="5"/>
      </w:numPr>
    </w:pPr>
  </w:style>
  <w:style w:type="paragraph" w:styleId="ListNumber4">
    <w:name w:val="List Number 4"/>
    <w:basedOn w:val="List4"/>
    <w:rsid w:val="00085B89"/>
    <w:pPr>
      <w:numPr>
        <w:numId w:val="6"/>
      </w:numPr>
    </w:pPr>
  </w:style>
  <w:style w:type="paragraph" w:styleId="ListNumber5">
    <w:name w:val="List Number 5"/>
    <w:basedOn w:val="List5"/>
    <w:rsid w:val="00085B89"/>
    <w:pPr>
      <w:numPr>
        <w:numId w:val="7"/>
      </w:numPr>
    </w:pPr>
  </w:style>
  <w:style w:type="paragraph" w:styleId="BlockText">
    <w:name w:val="Block Text"/>
    <w:basedOn w:val="Normal"/>
    <w:rsid w:val="00085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B89"/>
    <w:rPr>
      <w:sz w:val="16"/>
      <w:vertAlign w:val="superscript"/>
    </w:rPr>
  </w:style>
  <w:style w:type="character" w:customStyle="1" w:styleId="Symbols">
    <w:name w:val="Symbols"/>
    <w:basedOn w:val="DefaultParagraphFont"/>
    <w:rsid w:val="00085B89"/>
    <w:rPr>
      <w:rFonts w:ascii="Symbol" w:hAnsi="Symbol"/>
    </w:rPr>
  </w:style>
  <w:style w:type="character" w:customStyle="1" w:styleId="MenuOptions">
    <w:name w:val="Menu Options"/>
    <w:basedOn w:val="DefaultParagraphFont"/>
    <w:rsid w:val="00085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B89"/>
    <w:rPr>
      <w:b/>
    </w:rPr>
  </w:style>
  <w:style w:type="character" w:customStyle="1" w:styleId="Underlined">
    <w:name w:val="Underlined"/>
    <w:basedOn w:val="DefaultParagraphFont"/>
    <w:rsid w:val="00085B89"/>
    <w:rPr>
      <w:u w:val="single"/>
    </w:rPr>
  </w:style>
  <w:style w:type="paragraph" w:customStyle="1" w:styleId="TableBodyTextRight">
    <w:name w:val="Table Body Text Right"/>
    <w:basedOn w:val="TableBodyText"/>
    <w:rsid w:val="00085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B89"/>
    <w:rPr>
      <w:sz w:val="18"/>
    </w:rPr>
  </w:style>
  <w:style w:type="paragraph" w:customStyle="1" w:styleId="BodySmallRight">
    <w:name w:val="Body Small Right"/>
    <w:basedOn w:val="BodyTextRight"/>
    <w:rsid w:val="00085B89"/>
    <w:rPr>
      <w:sz w:val="18"/>
      <w:szCs w:val="18"/>
    </w:rPr>
  </w:style>
  <w:style w:type="paragraph" w:customStyle="1" w:styleId="MarginEdition">
    <w:name w:val="Margin Edition"/>
    <w:basedOn w:val="MarginNote"/>
    <w:rsid w:val="00085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B89"/>
    <w:rPr>
      <w:sz w:val="2"/>
      <w:szCs w:val="2"/>
    </w:rPr>
  </w:style>
  <w:style w:type="character" w:customStyle="1" w:styleId="Small">
    <w:name w:val="Small"/>
    <w:basedOn w:val="DefaultParagraphFont"/>
    <w:rsid w:val="00085B89"/>
    <w:rPr>
      <w:sz w:val="16"/>
    </w:rPr>
  </w:style>
  <w:style w:type="paragraph" w:customStyle="1" w:styleId="WideTable">
    <w:name w:val="Wide Table"/>
    <w:basedOn w:val="Normal"/>
    <w:rsid w:val="00085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B89"/>
  </w:style>
  <w:style w:type="paragraph" w:styleId="Quote">
    <w:name w:val="Quote"/>
    <w:basedOn w:val="Heading1"/>
    <w:link w:val="QuoteChar"/>
    <w:qFormat/>
    <w:rsid w:val="00085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B89"/>
    <w:pPr>
      <w:pageBreakBefore/>
    </w:pPr>
  </w:style>
  <w:style w:type="paragraph" w:customStyle="1" w:styleId="Border">
    <w:name w:val="Border"/>
    <w:basedOn w:val="Normal"/>
    <w:qFormat/>
    <w:rsid w:val="00085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B89"/>
    <w:rPr>
      <w:u w:val="single"/>
    </w:rPr>
  </w:style>
  <w:style w:type="character" w:customStyle="1" w:styleId="BoldandItalics">
    <w:name w:val="Bold and Italics"/>
    <w:qFormat/>
    <w:rsid w:val="00085B89"/>
    <w:rPr>
      <w:b/>
      <w:i/>
      <w:u w:val="none"/>
    </w:rPr>
  </w:style>
  <w:style w:type="paragraph" w:styleId="BalloonText">
    <w:name w:val="Balloon Text"/>
    <w:basedOn w:val="Normal"/>
    <w:link w:val="BalloonTextChar"/>
    <w:rsid w:val="00085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B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B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3118</Characters>
  <Application>Microsoft Office Word</Application>
  <DocSecurity>0</DocSecurity>
  <Lines>67</Lines>
  <Paragraphs>38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MSFSL3006 Assemble copper foil glass components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2016-12-09T04:09:00Z</dcterms:created>
  <dcterms:modified xsi:type="dcterms:W3CDTF">2016-12-09T04:09:00Z</dcterms:modified>
</cp:coreProperties>
</file>