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037" w:rsidP="004B3037">
      <w:pPr>
        <w:pStyle w:val="Title"/>
      </w:pPr>
      <w:r>
        <w:fldChar w:fldCharType="begin"/>
      </w:r>
      <w:r>
        <w:instrText xml:space="preserve"> TITLE   \* MERGEFORMAT </w:instrText>
      </w:r>
      <w:r>
        <w:fldChar w:fldCharType="separate"/>
      </w:r>
      <w:r>
        <w:t>MSFSL3005 Paint and fire glass</w:t>
      </w:r>
      <w:r>
        <w:fldChar w:fldCharType="end"/>
      </w:r>
    </w:p>
    <w:p w:rsidR="004B3037" w:rsidP="004B3037">
      <w:pPr>
        <w:pStyle w:val="Version"/>
        <w:sectPr w:rsidSect="00424B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BC6" w:rsidP="00424BC6">
      <w:pPr>
        <w:pStyle w:val="SuperHeading"/>
      </w:pPr>
      <w:r w:rsidRPr="00424BC6">
        <w:t>MSFSL3005 Paint and fire glass</w:t>
      </w:r>
    </w:p>
    <w:p w:rsidR="00000000" w:rsidRPr="00424BC6" w:rsidP="00424BC6">
      <w:pPr>
        <w:pStyle w:val="Heading1"/>
      </w:pPr>
      <w:bookmarkStart w:id="1" w:name="O_621505"/>
      <w:bookmarkEnd w:id="1"/>
      <w:r w:rsidRPr="00424BC6">
        <w:t>Modification History</w:t>
      </w:r>
    </w:p>
    <w:p w:rsidR="00000000" w:rsidRPr="00424BC6" w:rsidP="004B3037">
      <w:pPr>
        <w:pStyle w:val="BodyText"/>
      </w:pPr>
      <w:r w:rsidRPr="00424BC6">
        <w:t>Release 1 - New unit of competency</w:t>
      </w:r>
    </w:p>
    <w:p w:rsidR="00000000" w:rsidRPr="00424BC6" w:rsidP="00424BC6">
      <w:pPr>
        <w:pStyle w:val="Heading1"/>
      </w:pPr>
      <w:bookmarkStart w:id="2" w:name="O_621513"/>
      <w:bookmarkEnd w:id="2"/>
      <w:r w:rsidRPr="00424BC6">
        <w:t>Application</w:t>
      </w:r>
    </w:p>
    <w:p w:rsidR="00000000" w:rsidRPr="00424BC6" w:rsidP="004B3037">
      <w:pPr>
        <w:pStyle w:val="BodyText"/>
      </w:pPr>
      <w:r w:rsidRPr="00424BC6">
        <w:t>This unit of competency covers applying patterns and/or designs to glass with vitreous paints to achieve specific outcomes through the firing of glass.</w:t>
      </w:r>
    </w:p>
    <w:p w:rsidR="00000000" w:rsidRPr="00424BC6" w:rsidP="004B3037">
      <w:pPr>
        <w:pStyle w:val="BodyText"/>
      </w:pPr>
      <w:r w:rsidRPr="00424BC6">
        <w:t>No licensing, legi</w:t>
      </w:r>
      <w:r w:rsidRPr="00424BC6">
        <w:t>slative or certification requirements apply to this unit at the time of publication.</w:t>
      </w:r>
    </w:p>
    <w:p w:rsidR="00000000" w:rsidRPr="00424BC6" w:rsidP="00424BC6">
      <w:pPr>
        <w:pStyle w:val="Heading1"/>
      </w:pPr>
      <w:bookmarkStart w:id="3" w:name="O_621512"/>
      <w:bookmarkEnd w:id="3"/>
      <w:r w:rsidRPr="00424BC6">
        <w:t>Pre-requisite Unit</w:t>
      </w:r>
    </w:p>
    <w:p w:rsidR="00000000" w:rsidRPr="00424BC6" w:rsidP="00424BC6">
      <w:pPr>
        <w:pStyle w:val="Heading1"/>
      </w:pPr>
      <w:bookmarkStart w:id="4" w:name="O_621511"/>
      <w:bookmarkEnd w:id="4"/>
      <w:r w:rsidRPr="00424BC6">
        <w:t>Competency Field</w:t>
      </w:r>
    </w:p>
    <w:p w:rsidR="00000000" w:rsidRPr="00424BC6" w:rsidP="00424BC6">
      <w:pPr>
        <w:pStyle w:val="Heading1"/>
      </w:pPr>
      <w:bookmarkStart w:id="5" w:name="O_621510"/>
      <w:bookmarkEnd w:id="5"/>
      <w:r w:rsidRPr="00424BC6">
        <w:t>Unit Sector</w:t>
      </w:r>
    </w:p>
    <w:p w:rsidR="00000000" w:rsidRPr="00424BC6" w:rsidP="004B3037">
      <w:pPr>
        <w:pStyle w:val="BodyText"/>
      </w:pPr>
      <w:r w:rsidRPr="00424BC6">
        <w:t>Leadlight and Stained Glass</w:t>
      </w:r>
    </w:p>
    <w:p w:rsidR="00000000" w:rsidRPr="00424BC6" w:rsidP="00424BC6">
      <w:pPr>
        <w:pStyle w:val="Heading1"/>
      </w:pPr>
      <w:bookmarkStart w:id="6" w:name="O_621509"/>
      <w:bookmarkEnd w:id="6"/>
      <w:r w:rsidRPr="00424BC6">
        <w:t>Elements and Performance Crit</w:t>
      </w:r>
      <w:r w:rsidRPr="00424BC6">
        <w:t>eria</w:t>
      </w:r>
    </w:p>
    <w:tbl>
      <w:tblPr>
        <w:tblW w:w="0" w:type="auto"/>
        <w:tblLayout w:type="fixed"/>
        <w:tblCellMar>
          <w:left w:w="62" w:type="dxa"/>
          <w:right w:w="62" w:type="dxa"/>
        </w:tblCellMar>
        <w:tblLook w:val="0000"/>
      </w:tblPr>
      <w:tblGrid>
        <w:gridCol w:w="540"/>
        <w:gridCol w:w="2186"/>
        <w:gridCol w:w="694"/>
        <w:gridCol w:w="5760"/>
      </w:tblGrid>
      <w:tr w:rsidTr="00424BC6">
        <w:tblPrEx>
          <w:tblW w:w="0" w:type="auto"/>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Elements describe the essential outcomes.</w:t>
            </w:r>
          </w:p>
        </w:tc>
        <w:tc>
          <w:tcPr>
            <w:tcW w:w="6454" w:type="dxa"/>
            <w:gridSpan w:val="2"/>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Performance criteria describe the performance needed to demonstrate achievement of the element.</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1</w:t>
            </w:r>
          </w:p>
        </w:tc>
        <w:tc>
          <w:tcPr>
            <w:tcW w:w="2186"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Identify painting and firing requirements</w:t>
            </w: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1.1</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Applicable work health and safety (WHS), legislative and organisational requirements relevant to leadlight and stained glass operations are verified and complied with</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1.2</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Types and quantities of patterns, designs and materials required are identified fr</w:t>
            </w:r>
            <w:r w:rsidRPr="00424BC6">
              <w:t xml:space="preserve">om plans or work instructions </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1.3</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The processes for painting patterns and designs onto glass and achieving specific outcomes through the firing of glass are identified</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2</w:t>
            </w:r>
          </w:p>
        </w:tc>
        <w:tc>
          <w:tcPr>
            <w:tcW w:w="2186"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Prepare to paint and fire glass</w:t>
            </w: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2.1</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Painting sequence is determined in a logical order to suit the job</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2.2</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 xml:space="preserve">Tools, equipment and materials are selected and checked prior to use to ensure they are appropriate for painting and </w:t>
            </w:r>
            <w:r w:rsidRPr="00424BC6">
              <w:t>firing, serviceable and in a safe condition</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2.3</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Patterns and d</w:t>
            </w:r>
            <w:r w:rsidRPr="00424BC6">
              <w:t>esign templates are checked against specifications or job order</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2.4</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 xml:space="preserve">Paint colours are matched against the plan or work order and glass prepared for painting </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3</w:t>
            </w:r>
          </w:p>
        </w:tc>
        <w:tc>
          <w:tcPr>
            <w:tcW w:w="2186"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Apply vitreous paint</w:t>
            </w: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3.1</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 xml:space="preserve">Paint is applied to the glass surface in accordance with the pattern or design template </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3.2</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 xml:space="preserve">Any problems occurring during the painting operation are identified and rectified </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4</w:t>
            </w:r>
          </w:p>
        </w:tc>
        <w:tc>
          <w:tcPr>
            <w:tcW w:w="2186"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Conduct firing operations</w:t>
            </w: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4.1</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Firing sequence is determined in a logical o</w:t>
            </w:r>
            <w:r w:rsidRPr="00424BC6">
              <w:t>rder to suit the job</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4.2</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Kiln is checked prior to use to ensure it is appropriate for the firing, serviceable and in a safe condition</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4.3</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Kiln components and controls, including emergency stops and guards, are identified and checked for correct opera</w:t>
            </w:r>
            <w:r w:rsidRPr="00424BC6">
              <w:t>tion</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4.4</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 xml:space="preserve">Glass is prepared for firing and kiln equipment is operated, adjusted and monitored to ensure correct product quality and output </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4.5</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Any problems occurring during the firing operation are identified and rectified</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5</w:t>
            </w:r>
          </w:p>
        </w:tc>
        <w:tc>
          <w:tcPr>
            <w:tcW w:w="2186"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Finalise the work</w:t>
            </w: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5.1</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 xml:space="preserve">Painted and fired glass is inspected for quality of work and repaired or discarded, as required </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5.2</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Waste and scrap material are removed for disposal or recycling, as required</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5.3</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Work area is cleaned and rubbish disposed of, as appropriate</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5.4</w:t>
            </w:r>
          </w:p>
        </w:tc>
        <w:tc>
          <w:tcPr>
            <w:tcW w:w="5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Tools, equipment and unused materials are cleaned and removed and stored appropriately</w:t>
            </w:r>
          </w:p>
        </w:tc>
      </w:tr>
      <w:tr w:rsidTr="00424BC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5.5</w:t>
            </w:r>
          </w:p>
        </w:tc>
        <w:tc>
          <w:tcPr>
            <w:tcW w:w="5760" w:type="dxa"/>
            <w:tcBorders>
              <w:top w:val="nil"/>
              <w:left w:val="nil"/>
              <w:bottom w:val="nil"/>
              <w:right w:val="nil"/>
            </w:tcBorders>
            <w:tcMar>
              <w:top w:w="0" w:type="dxa"/>
              <w:left w:w="62" w:type="dxa"/>
              <w:bottom w:w="0" w:type="dxa"/>
              <w:right w:w="62" w:type="dxa"/>
            </w:tcMar>
          </w:tcPr>
          <w:p w:rsidR="00000000" w:rsidRPr="00424BC6" w:rsidP="00424BC6">
            <w:pPr>
              <w:pStyle w:val="BodyText"/>
            </w:pPr>
            <w:r w:rsidRPr="00424BC6">
              <w:t>Workplace records are maintained according to workplace procedures</w:t>
            </w:r>
          </w:p>
        </w:tc>
      </w:tr>
    </w:tbl>
    <w:p w:rsidR="00000000" w:rsidRPr="00424BC6" w:rsidP="00424BC6">
      <w:pPr>
        <w:pStyle w:val="BodyText"/>
      </w:pPr>
    </w:p>
    <w:p w:rsidR="00000000" w:rsidRPr="00424BC6" w:rsidP="00424BC6">
      <w:pPr>
        <w:pStyle w:val="AllowPageBreak"/>
      </w:pPr>
    </w:p>
    <w:p w:rsidR="00000000" w:rsidRPr="00424BC6" w:rsidP="00424BC6">
      <w:pPr>
        <w:pStyle w:val="Heading1"/>
      </w:pPr>
      <w:bookmarkStart w:id="7" w:name="O_621508"/>
      <w:bookmarkEnd w:id="7"/>
      <w:r w:rsidRPr="00424BC6">
        <w:t>Foundation Skills</w:t>
      </w:r>
    </w:p>
    <w:p w:rsidR="00000000" w:rsidRPr="00424BC6" w:rsidP="004B3037">
      <w:pPr>
        <w:pStyle w:val="BodyText"/>
      </w:pPr>
      <w:r w:rsidRPr="00424BC6">
        <w:t>Foundation skills essential to performance are explicit in</w:t>
      </w:r>
      <w:r w:rsidRPr="00424BC6">
        <w:t xml:space="preserve"> the performance criteria of this unit of competency. Detail on appropriate performance levels for each furnishing unit of competency in reading, writing, oral communication and numeracy utilising the Australian Core Skills Framework (ACSF) are provided in</w:t>
      </w:r>
      <w:r w:rsidRPr="00424BC6">
        <w:t xml:space="preserve"> the Furnishing Training Package Implementation Guide.</w:t>
      </w:r>
    </w:p>
    <w:p w:rsidR="00000000" w:rsidRPr="00424BC6" w:rsidP="00424BC6">
      <w:pPr>
        <w:pStyle w:val="Heading1"/>
      </w:pPr>
      <w:bookmarkStart w:id="8" w:name="O_621507"/>
      <w:bookmarkEnd w:id="8"/>
      <w:r w:rsidRPr="00424BC6">
        <w:t>Range of Conditions</w:t>
      </w:r>
    </w:p>
    <w:tbl>
      <w:tblPr>
        <w:tblW w:w="0" w:type="auto"/>
        <w:tblLayout w:type="fixed"/>
        <w:tblCellMar>
          <w:left w:w="62" w:type="dxa"/>
          <w:right w:w="62" w:type="dxa"/>
        </w:tblCellMar>
        <w:tblLook w:val="0000"/>
      </w:tblPr>
      <w:tblGrid>
        <w:gridCol w:w="2760"/>
        <w:gridCol w:w="6312"/>
      </w:tblGrid>
      <w:tr w:rsidTr="00424B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t>Specifies different work environments and conditions that may affect performance. Essential operating conditions that may be present (depending on the work situatio</w:t>
            </w:r>
            <w:r w:rsidRPr="00424BC6">
              <w:t>n, needs of the candidate, accessibility of the item, and local industry and regional contexts) are included. Range is restricted to essential operating conditions and any other variables essential to the work environment.</w:t>
            </w:r>
          </w:p>
        </w:tc>
      </w:tr>
      <w:tr w:rsidTr="00424B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24BC6" w:rsidP="00424BC6">
            <w:pPr>
              <w:pStyle w:val="ListBullet"/>
            </w:pPr>
            <w:r w:rsidRPr="00424BC6">
              <w:t xml:space="preserve">WHS requirements, including legislation, building codes, material safety management systems, hazardous and dangerous goods codes, and local safe operating procedures or equivalent </w:t>
            </w:r>
          </w:p>
          <w:p w:rsidR="00000000" w:rsidRPr="00424BC6" w:rsidP="00424BC6">
            <w:pPr>
              <w:pStyle w:val="ListBullet"/>
            </w:pPr>
            <w:r w:rsidRPr="00424BC6">
              <w:t>work is carried out in accordance with legislative obligations, environment</w:t>
            </w:r>
            <w:r w:rsidRPr="00424BC6">
              <w:t>al legislation, relevant health regulations, manual handling procedures and organisation insurance requirements</w:t>
            </w:r>
          </w:p>
          <w:p w:rsidR="00000000" w:rsidP="00424BC6">
            <w:pPr>
              <w:pStyle w:val="ListBullet"/>
              <w:rPr>
                <w:lang w:val="en-NZ"/>
              </w:rPr>
            </w:pPr>
            <w:r w:rsidRPr="00424BC6">
              <w:t xml:space="preserve">work requires individuals to demonstrate some discretion, judgement and problem solving </w:t>
            </w:r>
          </w:p>
        </w:tc>
      </w:tr>
      <w:tr w:rsidTr="00424B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rPr>
                <w:rStyle w:val="SpecialBold"/>
              </w:rPr>
              <w:t>Patterns and designs include:</w:t>
            </w:r>
          </w:p>
        </w:tc>
        <w:tc>
          <w:tcPr>
            <w:tcW w:w="6312" w:type="dxa"/>
            <w:tcBorders>
              <w:top w:val="nil"/>
              <w:left w:val="nil"/>
              <w:bottom w:val="nil"/>
              <w:right w:val="nil"/>
            </w:tcBorders>
            <w:tcMar>
              <w:top w:w="0" w:type="dxa"/>
              <w:left w:w="62" w:type="dxa"/>
              <w:bottom w:w="0" w:type="dxa"/>
              <w:right w:w="62" w:type="dxa"/>
            </w:tcMar>
          </w:tcPr>
          <w:p w:rsidR="00000000" w:rsidRPr="00424BC6" w:rsidP="00424BC6">
            <w:pPr>
              <w:pStyle w:val="ListBullet"/>
            </w:pPr>
            <w:r w:rsidRPr="00424BC6">
              <w:t>freehand or computer-dr</w:t>
            </w:r>
            <w:r w:rsidRPr="00424BC6">
              <w:t xml:space="preserve">awn templates </w:t>
            </w:r>
          </w:p>
          <w:p w:rsidR="00000000" w:rsidRPr="00424BC6" w:rsidP="00424BC6">
            <w:pPr>
              <w:pStyle w:val="ListBullet"/>
            </w:pPr>
            <w:r w:rsidRPr="00424BC6">
              <w:t>artwork to be transferred to glass</w:t>
            </w:r>
          </w:p>
          <w:p w:rsidR="00000000" w:rsidRPr="00424BC6" w:rsidP="00424BC6">
            <w:pPr>
              <w:pStyle w:val="ListBullet"/>
            </w:pPr>
            <w:r w:rsidRPr="00424BC6">
              <w:t>designs to be transferred to glass</w:t>
            </w:r>
          </w:p>
          <w:p w:rsidR="00000000" w:rsidP="00424BC6">
            <w:pPr>
              <w:pStyle w:val="ListBullet"/>
              <w:rPr>
                <w:lang w:val="en-NZ"/>
              </w:rPr>
            </w:pPr>
            <w:r w:rsidRPr="00424BC6">
              <w:t>other patterns</w:t>
            </w:r>
          </w:p>
        </w:tc>
      </w:tr>
      <w:tr w:rsidTr="00424B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24BC6" w:rsidP="00424BC6">
            <w:pPr>
              <w:pStyle w:val="ListBullet"/>
            </w:pPr>
            <w:r w:rsidRPr="00424BC6">
              <w:t xml:space="preserve">clear, coloured or painted glass </w:t>
            </w:r>
          </w:p>
          <w:p w:rsidR="00000000" w:rsidRPr="00424BC6" w:rsidP="00424BC6">
            <w:pPr>
              <w:pStyle w:val="ListBullet"/>
            </w:pPr>
            <w:r w:rsidRPr="00424BC6">
              <w:t>vitreous paints</w:t>
            </w:r>
          </w:p>
          <w:p w:rsidR="00000000" w:rsidRPr="00424BC6" w:rsidP="00424BC6">
            <w:pPr>
              <w:pStyle w:val="ListBullet"/>
            </w:pPr>
            <w:r w:rsidRPr="00424BC6">
              <w:t>bedding sand</w:t>
            </w:r>
          </w:p>
          <w:p w:rsidR="00000000" w:rsidP="00424BC6">
            <w:pPr>
              <w:pStyle w:val="ListBullet"/>
              <w:rPr>
                <w:lang w:val="en-NZ"/>
              </w:rPr>
            </w:pPr>
            <w:r w:rsidRPr="00424BC6">
              <w:t>marking and masking materials</w:t>
            </w:r>
          </w:p>
        </w:tc>
      </w:tr>
      <w:tr w:rsidTr="00424B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rPr>
                <w:rStyle w:val="SpecialBold"/>
              </w:rPr>
              <w:t>Specific outcomes include:</w:t>
            </w:r>
          </w:p>
        </w:tc>
        <w:tc>
          <w:tcPr>
            <w:tcW w:w="6312" w:type="dxa"/>
            <w:tcBorders>
              <w:top w:val="nil"/>
              <w:left w:val="nil"/>
              <w:bottom w:val="nil"/>
              <w:right w:val="nil"/>
            </w:tcBorders>
            <w:tcMar>
              <w:top w:w="0" w:type="dxa"/>
              <w:left w:w="62" w:type="dxa"/>
              <w:bottom w:w="0" w:type="dxa"/>
              <w:right w:w="62" w:type="dxa"/>
            </w:tcMar>
          </w:tcPr>
          <w:p w:rsidR="00000000" w:rsidRPr="00424BC6" w:rsidP="00424BC6">
            <w:pPr>
              <w:pStyle w:val="BodyText"/>
            </w:pPr>
            <w:r w:rsidRPr="00424BC6">
              <w:t xml:space="preserve">painting </w:t>
            </w:r>
          </w:p>
          <w:p w:rsidR="00000000" w:rsidRPr="00424BC6" w:rsidP="00424BC6">
            <w:pPr>
              <w:pStyle w:val="ListBullet"/>
            </w:pPr>
            <w:r w:rsidRPr="00424BC6">
              <w:t xml:space="preserve">staining </w:t>
            </w:r>
          </w:p>
          <w:p w:rsidR="00000000" w:rsidP="00424BC6">
            <w:pPr>
              <w:pStyle w:val="ListBullet"/>
              <w:rPr>
                <w:lang w:val="en-NZ"/>
              </w:rPr>
            </w:pPr>
            <w:r w:rsidRPr="00424BC6">
              <w:t>forming</w:t>
            </w:r>
          </w:p>
        </w:tc>
      </w:tr>
      <w:tr w:rsidTr="00424B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24BC6" w:rsidP="00424BC6">
            <w:pPr>
              <w:pStyle w:val="ListBullet"/>
            </w:pPr>
            <w:r w:rsidRPr="00424BC6">
              <w:t xml:space="preserve">work benches </w:t>
            </w:r>
          </w:p>
          <w:p w:rsidR="00000000" w:rsidRPr="00424BC6" w:rsidP="00424BC6">
            <w:pPr>
              <w:pStyle w:val="ListBullet"/>
            </w:pPr>
            <w:r w:rsidRPr="00424BC6">
              <w:t xml:space="preserve">light tables </w:t>
            </w:r>
          </w:p>
          <w:p w:rsidR="00000000" w:rsidRPr="00424BC6" w:rsidP="00424BC6">
            <w:pPr>
              <w:pStyle w:val="ListBullet"/>
            </w:pPr>
            <w:r w:rsidRPr="00424BC6">
              <w:t xml:space="preserve">paint brushes and other applicators </w:t>
            </w:r>
          </w:p>
          <w:p w:rsidR="00000000" w:rsidRPr="00424BC6" w:rsidP="00424BC6">
            <w:pPr>
              <w:pStyle w:val="ListBullet"/>
            </w:pPr>
            <w:r w:rsidRPr="00424BC6">
              <w:t>general hand tools</w:t>
            </w:r>
          </w:p>
          <w:p w:rsidR="00000000" w:rsidP="00424BC6">
            <w:pPr>
              <w:pStyle w:val="ListBullet"/>
              <w:rPr>
                <w:lang w:val="en-NZ"/>
              </w:rPr>
            </w:pPr>
            <w:r w:rsidRPr="00424BC6">
              <w:t>firing kiln</w:t>
            </w:r>
          </w:p>
        </w:tc>
      </w:tr>
      <w:tr w:rsidTr="00424B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rPr>
                <w:rStyle w:val="SpecialBold"/>
              </w:rPr>
              <w:t>Preparation includes:</w:t>
            </w:r>
          </w:p>
        </w:tc>
        <w:tc>
          <w:tcPr>
            <w:tcW w:w="6312" w:type="dxa"/>
            <w:tcBorders>
              <w:top w:val="nil"/>
              <w:left w:val="nil"/>
              <w:bottom w:val="nil"/>
              <w:right w:val="nil"/>
            </w:tcBorders>
            <w:tcMar>
              <w:top w:w="0" w:type="dxa"/>
              <w:left w:w="62" w:type="dxa"/>
              <w:bottom w:w="0" w:type="dxa"/>
              <w:right w:w="62" w:type="dxa"/>
            </w:tcMar>
          </w:tcPr>
          <w:p w:rsidR="00000000" w:rsidRPr="00424BC6" w:rsidP="00424BC6">
            <w:pPr>
              <w:pStyle w:val="ListBullet"/>
            </w:pPr>
            <w:r w:rsidRPr="00424BC6">
              <w:t xml:space="preserve">cleaning </w:t>
            </w:r>
          </w:p>
          <w:p w:rsidR="00000000" w:rsidRPr="00424BC6" w:rsidP="00424BC6">
            <w:pPr>
              <w:pStyle w:val="ListBullet"/>
            </w:pPr>
            <w:r w:rsidRPr="00424BC6">
              <w:t xml:space="preserve">marking </w:t>
            </w:r>
          </w:p>
          <w:p w:rsidR="00000000" w:rsidRPr="00424BC6" w:rsidP="00424BC6">
            <w:pPr>
              <w:pStyle w:val="ListBullet"/>
            </w:pPr>
            <w:r w:rsidRPr="00424BC6">
              <w:t xml:space="preserve">masking </w:t>
            </w:r>
          </w:p>
          <w:p w:rsidR="00000000" w:rsidP="00424BC6">
            <w:pPr>
              <w:pStyle w:val="ListBullet"/>
              <w:rPr>
                <w:lang w:val="en-NZ"/>
              </w:rPr>
            </w:pPr>
            <w:r w:rsidRPr="00424BC6">
              <w:t xml:space="preserve">applying templates </w:t>
            </w:r>
          </w:p>
        </w:tc>
      </w:tr>
      <w:tr w:rsidTr="00424B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rPr>
                <w:rStyle w:val="SpecialBold"/>
              </w:rPr>
              <w:t>Records include:</w:t>
            </w:r>
          </w:p>
        </w:tc>
        <w:tc>
          <w:tcPr>
            <w:tcW w:w="6312" w:type="dxa"/>
            <w:tcBorders>
              <w:top w:val="nil"/>
              <w:left w:val="nil"/>
              <w:bottom w:val="nil"/>
              <w:right w:val="nil"/>
            </w:tcBorders>
            <w:tcMar>
              <w:top w:w="0" w:type="dxa"/>
              <w:left w:w="62" w:type="dxa"/>
              <w:bottom w:w="0" w:type="dxa"/>
              <w:right w:w="62" w:type="dxa"/>
            </w:tcMar>
          </w:tcPr>
          <w:p w:rsidR="00000000" w:rsidRPr="00424BC6" w:rsidP="00424BC6">
            <w:pPr>
              <w:pStyle w:val="ListBullet"/>
            </w:pPr>
            <w:r w:rsidRPr="00424BC6">
              <w:t>product type</w:t>
            </w:r>
          </w:p>
          <w:p w:rsidR="00000000" w:rsidRPr="00424BC6" w:rsidP="00424BC6">
            <w:pPr>
              <w:pStyle w:val="ListBullet"/>
            </w:pPr>
            <w:r w:rsidRPr="00424BC6">
              <w:t xml:space="preserve">size </w:t>
            </w:r>
          </w:p>
          <w:p w:rsidR="00000000" w:rsidRPr="00424BC6" w:rsidP="00424BC6">
            <w:pPr>
              <w:pStyle w:val="ListBullet"/>
            </w:pPr>
            <w:r w:rsidRPr="00424BC6">
              <w:t xml:space="preserve">inspection </w:t>
            </w:r>
          </w:p>
          <w:p w:rsidR="00000000" w:rsidRPr="00424BC6" w:rsidP="00424BC6">
            <w:pPr>
              <w:pStyle w:val="ListBullet"/>
            </w:pPr>
            <w:r w:rsidRPr="00424BC6">
              <w:t xml:space="preserve">inspection outcomes </w:t>
            </w:r>
          </w:p>
          <w:p w:rsidR="00000000" w:rsidRPr="00424BC6" w:rsidP="00424BC6">
            <w:pPr>
              <w:pStyle w:val="ListBullet"/>
            </w:pPr>
            <w:r w:rsidRPr="00424BC6">
              <w:t xml:space="preserve">quality outcomes </w:t>
            </w:r>
          </w:p>
          <w:p w:rsidR="00000000" w:rsidP="00424BC6">
            <w:pPr>
              <w:pStyle w:val="ListBullet"/>
              <w:rPr>
                <w:lang w:val="en-NZ"/>
              </w:rPr>
            </w:pPr>
            <w:r w:rsidRPr="00424BC6">
              <w:t>storage locations</w:t>
            </w:r>
          </w:p>
        </w:tc>
      </w:tr>
      <w:tr w:rsidTr="00424B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24BC6" w:rsidP="00424BC6">
            <w:pPr>
              <w:pStyle w:val="BodyText"/>
            </w:pPr>
            <w:r w:rsidRPr="00424BC6">
              <w:rPr>
                <w:rStyle w:val="SpecialBold"/>
              </w:rPr>
              <w:t>Personal protective equipment includes:</w:t>
            </w:r>
          </w:p>
          <w:p w:rsidR="00000000" w:rsidP="00424B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24BC6" w:rsidP="00424BC6">
            <w:pPr>
              <w:pStyle w:val="ListBullet"/>
            </w:pPr>
            <w:r w:rsidRPr="00424BC6">
              <w:t>that prescribed under legislation, regulation and enterprise policies and practices:</w:t>
            </w:r>
          </w:p>
          <w:p w:rsidR="00000000" w:rsidRPr="00424BC6" w:rsidP="00424BC6">
            <w:pPr>
              <w:pStyle w:val="ListBullet2"/>
            </w:pPr>
            <w:r w:rsidRPr="00424BC6">
              <w:t>gauntlets</w:t>
            </w:r>
          </w:p>
          <w:p w:rsidR="00000000" w:rsidRPr="00424BC6" w:rsidP="00424BC6">
            <w:pPr>
              <w:pStyle w:val="ListBullet2"/>
            </w:pPr>
            <w:r w:rsidRPr="00424BC6">
              <w:t>gloves</w:t>
            </w:r>
          </w:p>
          <w:p w:rsidR="00000000" w:rsidRPr="00424BC6" w:rsidP="00424BC6">
            <w:pPr>
              <w:pStyle w:val="ListBullet2"/>
            </w:pPr>
            <w:r w:rsidRPr="00424BC6">
              <w:t>safety glasses</w:t>
            </w:r>
          </w:p>
          <w:p w:rsidR="00000000" w:rsidRPr="00424BC6" w:rsidP="00424BC6">
            <w:pPr>
              <w:pStyle w:val="ListBullet2"/>
            </w:pPr>
            <w:r w:rsidRPr="00424BC6">
              <w:t>hard hats</w:t>
            </w:r>
          </w:p>
          <w:p w:rsidR="00000000" w:rsidRPr="00424BC6" w:rsidP="00424BC6">
            <w:pPr>
              <w:pStyle w:val="ListBullet2"/>
            </w:pPr>
            <w:r w:rsidRPr="00424BC6">
              <w:t>safety footwear</w:t>
            </w:r>
          </w:p>
          <w:p w:rsidR="00000000" w:rsidP="00424BC6">
            <w:pPr>
              <w:pStyle w:val="ListBullet2"/>
              <w:rPr>
                <w:lang w:val="en-NZ"/>
              </w:rPr>
            </w:pPr>
            <w:r w:rsidRPr="00424BC6">
              <w:t>aprons and overalls</w:t>
            </w:r>
          </w:p>
        </w:tc>
      </w:tr>
      <w:tr w:rsidTr="00424B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BC6">
            <w:pPr>
              <w:pStyle w:val="BodyText"/>
              <w:rPr>
                <w:lang w:val="en-NZ"/>
              </w:rPr>
            </w:pPr>
            <w:r w:rsidRPr="00424BC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24BC6" w:rsidP="00424BC6">
            <w:pPr>
              <w:pStyle w:val="ListBullet"/>
            </w:pPr>
            <w:r w:rsidRPr="00424BC6">
              <w:t xml:space="preserve">workplace procedures relating to the use of tools and equipment and personal protective equipment </w:t>
            </w:r>
          </w:p>
          <w:p w:rsidR="00000000" w:rsidRPr="00424BC6" w:rsidP="00424BC6">
            <w:pPr>
              <w:pStyle w:val="ListBullet"/>
            </w:pPr>
            <w:r w:rsidRPr="00424BC6">
              <w:t xml:space="preserve">work instructions, including job sheets, cutting lists, plans, drawings and designs </w:t>
            </w:r>
          </w:p>
          <w:p w:rsidR="00000000" w:rsidRPr="00424BC6" w:rsidP="00424BC6">
            <w:pPr>
              <w:pStyle w:val="ListBullet"/>
            </w:pPr>
            <w:r w:rsidRPr="00424BC6">
              <w:t xml:space="preserve">workplace procedures relating to reporting and communication </w:t>
            </w:r>
          </w:p>
          <w:p w:rsidR="00000000" w:rsidRPr="00424BC6" w:rsidP="00424BC6">
            <w:pPr>
              <w:pStyle w:val="ListBullet"/>
            </w:pPr>
            <w:r w:rsidRPr="00424BC6">
              <w:t>manufacturer specifications and operational procedures</w:t>
            </w:r>
          </w:p>
        </w:tc>
      </w:tr>
    </w:tbl>
    <w:p w:rsidR="00000000" w:rsidRPr="00424BC6" w:rsidP="00424BC6">
      <w:pPr>
        <w:pStyle w:val="BodyText"/>
      </w:pPr>
    </w:p>
    <w:p w:rsidR="00000000" w:rsidRPr="00424BC6" w:rsidP="00424BC6">
      <w:pPr>
        <w:pStyle w:val="AllowPageBreak"/>
      </w:pPr>
    </w:p>
    <w:p w:rsidR="00000000" w:rsidRPr="00424BC6" w:rsidP="00424BC6">
      <w:pPr>
        <w:pStyle w:val="Heading1"/>
      </w:pPr>
      <w:bookmarkStart w:id="9" w:name="O_621506"/>
      <w:bookmarkEnd w:id="9"/>
      <w:r w:rsidRPr="00424BC6">
        <w:t>Unit Mapping Information</w:t>
      </w:r>
    </w:p>
    <w:p w:rsidR="00000000" w:rsidRPr="00424BC6" w:rsidP="004B3037">
      <w:pPr>
        <w:pStyle w:val="BodyText"/>
      </w:pPr>
      <w:r w:rsidRPr="00424BC6">
        <w:t>Supersedes and is equivalent to LMFSL3007A Paint and fire glass.</w:t>
      </w:r>
    </w:p>
    <w:p w:rsidR="00000000" w:rsidRPr="00424BC6" w:rsidP="00424BC6">
      <w:pPr>
        <w:pStyle w:val="Heading1"/>
      </w:pPr>
      <w:bookmarkStart w:id="10" w:name="O_621499"/>
      <w:bookmarkEnd w:id="10"/>
      <w:r w:rsidRPr="00424BC6">
        <w:t>Links</w:t>
      </w:r>
    </w:p>
    <w:p w:rsidR="00000000" w:rsidRPr="00424BC6" w:rsidP="004B3037">
      <w:pPr>
        <w:pStyle w:val="BodyText"/>
      </w:pPr>
      <w:r w:rsidRPr="00424BC6">
        <w:t>Compani</w:t>
      </w:r>
      <w:r w:rsidRPr="00424BC6">
        <w:t xml:space="preserve">on Volume implementation guides are found in VETNet - </w:t>
      </w:r>
      <w:r>
        <w:fldChar w:fldCharType="begin"/>
      </w:r>
      <w:r>
        <w:instrText xml:space="preserve"> HYPERLINK "https://vetnet.education.gov.au/Pages/TrainingDocs.aspx?q=0601ab95-583a-4e93-b2d4-cfb27b03ed73" </w:instrText>
      </w:r>
      <w:r>
        <w:fldChar w:fldCharType="separate"/>
      </w:r>
      <w:r w:rsidRPr="00FE7497">
        <w:rPr>
          <w:rStyle w:val="Hyperlink"/>
        </w:rPr>
        <w:t>https://vetnet.education.gov.au/Pages/TrainingDocs.aspx?q=0601ab95-583a-4e93-b2d4-cfb27b03ed73</w:t>
      </w:r>
      <w:r>
        <w:fldChar w:fldCharType="end"/>
      </w:r>
    </w:p>
    <w:p w:rsidR="00000000" w:rsidRPr="00424BC6" w:rsidP="00424BC6"/>
    <w:sectPr w:rsidSect="00424B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C6" w:rsidRPr="004B3037" w:rsidP="004B3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37" w:rsidP="00424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3037" w:rsidP="00424BC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3037" w:rsidP="00424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BC6" w:rsidRPr="004B3037" w:rsidP="004B3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37" w:rsidRPr="002D2AF8" w:rsidP="00424BC6">
    <w:pPr>
      <w:pStyle w:val="Header"/>
      <w:framePr w:wrap="around"/>
    </w:pPr>
    <w:r>
      <w:fldChar w:fldCharType="begin"/>
    </w:r>
    <w:r>
      <w:instrText xml:space="preserve"> TITLE   \* MERGEFORMAT </w:instrText>
    </w:r>
    <w:r>
      <w:fldChar w:fldCharType="separate"/>
    </w:r>
    <w:r>
      <w:t>MSFSL3005 Paint and fire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4B3037" w:rsidP="00424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DCF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2A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982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BC6"/>
    <w:pPr>
      <w:spacing w:before="360" w:after="60"/>
      <w:outlineLvl w:val="0"/>
    </w:pPr>
    <w:rPr>
      <w:sz w:val="32"/>
    </w:rPr>
  </w:style>
  <w:style w:type="paragraph" w:styleId="Heading2">
    <w:name w:val="heading 2"/>
    <w:basedOn w:val="HeadingBase"/>
    <w:next w:val="BodyText"/>
    <w:link w:val="Heading2Char"/>
    <w:qFormat/>
    <w:rsid w:val="00424BC6"/>
    <w:pPr>
      <w:keepLines/>
      <w:spacing w:before="240" w:after="120"/>
      <w:outlineLvl w:val="1"/>
    </w:pPr>
    <w:rPr>
      <w:sz w:val="28"/>
      <w:szCs w:val="40"/>
    </w:rPr>
  </w:style>
  <w:style w:type="paragraph" w:styleId="Heading3">
    <w:name w:val="heading 3"/>
    <w:basedOn w:val="HeadingBase"/>
    <w:next w:val="BodyText"/>
    <w:link w:val="Heading3Char"/>
    <w:qFormat/>
    <w:rsid w:val="00424BC6"/>
    <w:pPr>
      <w:spacing w:before="180" w:after="120"/>
      <w:outlineLvl w:val="2"/>
    </w:pPr>
    <w:rPr>
      <w:spacing w:val="-10"/>
      <w:kern w:val="32"/>
    </w:rPr>
  </w:style>
  <w:style w:type="paragraph" w:styleId="Heading4">
    <w:name w:val="heading 4"/>
    <w:basedOn w:val="HeadingBase"/>
    <w:next w:val="BodyText"/>
    <w:link w:val="Heading4Char"/>
    <w:qFormat/>
    <w:rsid w:val="00424BC6"/>
    <w:pPr>
      <w:spacing w:before="160" w:after="120"/>
      <w:outlineLvl w:val="3"/>
    </w:pPr>
    <w:rPr>
      <w:sz w:val="22"/>
    </w:rPr>
  </w:style>
  <w:style w:type="paragraph" w:styleId="Heading5">
    <w:name w:val="heading 5"/>
    <w:basedOn w:val="HeadingBase"/>
    <w:next w:val="Normal"/>
    <w:link w:val="Heading5Char"/>
    <w:qFormat/>
    <w:rsid w:val="00424BC6"/>
    <w:pPr>
      <w:spacing w:before="80"/>
      <w:outlineLvl w:val="4"/>
    </w:pPr>
    <w:rPr>
      <w:color w:val="918585"/>
      <w:sz w:val="20"/>
    </w:rPr>
  </w:style>
  <w:style w:type="paragraph" w:styleId="Heading6">
    <w:name w:val="heading 6"/>
    <w:basedOn w:val="HeadingBase"/>
    <w:next w:val="Normal"/>
    <w:link w:val="Heading6Char"/>
    <w:qFormat/>
    <w:rsid w:val="00424BC6"/>
    <w:pPr>
      <w:spacing w:before="60"/>
      <w:outlineLvl w:val="5"/>
    </w:pPr>
    <w:rPr>
      <w:color w:val="918585"/>
      <w:sz w:val="20"/>
    </w:rPr>
  </w:style>
  <w:style w:type="paragraph" w:styleId="Heading7">
    <w:name w:val="heading 7"/>
    <w:basedOn w:val="Normal"/>
    <w:next w:val="Normal"/>
    <w:link w:val="Heading7Char"/>
    <w:qFormat/>
    <w:rsid w:val="00424BC6"/>
    <w:pPr>
      <w:ind w:left="720"/>
      <w:outlineLvl w:val="6"/>
    </w:pPr>
    <w:rPr>
      <w:i/>
    </w:rPr>
  </w:style>
  <w:style w:type="paragraph" w:styleId="Heading8">
    <w:name w:val="heading 8"/>
    <w:basedOn w:val="Normal"/>
    <w:next w:val="Normal"/>
    <w:link w:val="Heading8Char"/>
    <w:qFormat/>
    <w:rsid w:val="00424BC6"/>
    <w:pPr>
      <w:ind w:left="720"/>
      <w:outlineLvl w:val="7"/>
    </w:pPr>
    <w:rPr>
      <w:i/>
    </w:rPr>
  </w:style>
  <w:style w:type="paragraph" w:styleId="Heading9">
    <w:name w:val="heading 9"/>
    <w:basedOn w:val="Normal"/>
    <w:next w:val="Normal"/>
    <w:link w:val="Heading9Char"/>
    <w:qFormat/>
    <w:rsid w:val="00424BC6"/>
    <w:pPr>
      <w:ind w:left="720"/>
      <w:outlineLvl w:val="8"/>
    </w:pPr>
    <w:rPr>
      <w:i/>
    </w:rPr>
  </w:style>
  <w:style w:type="character" w:default="1" w:styleId="DefaultParagraphFont">
    <w:name w:val="Default Paragraph Font"/>
    <w:uiPriority w:val="1"/>
    <w:unhideWhenUsed/>
    <w:rsid w:val="00424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BC6"/>
  </w:style>
  <w:style w:type="character" w:customStyle="1" w:styleId="Heading1Char">
    <w:name w:val="Heading 1 Char"/>
    <w:basedOn w:val="DefaultParagraphFont"/>
    <w:link w:val="Heading1"/>
    <w:rsid w:val="00424BC6"/>
    <w:rPr>
      <w:rFonts w:ascii="Times New Roman" w:eastAsia="Times New Roman" w:hAnsi="Times New Roman" w:cs="Times New Roman"/>
      <w:b/>
      <w:sz w:val="32"/>
      <w:szCs w:val="20"/>
      <w:lang w:eastAsia="en-US"/>
    </w:rPr>
  </w:style>
  <w:style w:type="paragraph" w:styleId="BodyText">
    <w:name w:val="Body Text"/>
    <w:basedOn w:val="Normal"/>
    <w:link w:val="BodyTextChar"/>
    <w:rsid w:val="00424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BC6"/>
    <w:rPr>
      <w:rFonts w:ascii="Times New Roman" w:eastAsia="Times New Roman" w:hAnsi="Times New Roman" w:cs="Times New Roman"/>
      <w:sz w:val="24"/>
      <w:lang w:eastAsia="en-US"/>
    </w:rPr>
  </w:style>
  <w:style w:type="paragraph" w:styleId="ListBullet">
    <w:name w:val="List Bullet"/>
    <w:basedOn w:val="List"/>
    <w:rsid w:val="00424BC6"/>
    <w:pPr>
      <w:numPr>
        <w:numId w:val="12"/>
      </w:numPr>
      <w:tabs>
        <w:tab w:val="clear" w:pos="340"/>
      </w:tabs>
      <w:spacing w:before="40" w:after="40"/>
    </w:pPr>
  </w:style>
  <w:style w:type="character" w:customStyle="1" w:styleId="SpecialBold">
    <w:name w:val="Special Bold"/>
    <w:basedOn w:val="DefaultParagraphFont"/>
    <w:rsid w:val="00424BC6"/>
    <w:rPr>
      <w:b/>
      <w:spacing w:val="0"/>
    </w:rPr>
  </w:style>
  <w:style w:type="paragraph" w:styleId="ListBullet2">
    <w:name w:val="List Bullet 2"/>
    <w:basedOn w:val="List2"/>
    <w:rsid w:val="00424BC6"/>
    <w:pPr>
      <w:numPr>
        <w:numId w:val="13"/>
      </w:numPr>
      <w:tabs>
        <w:tab w:val="clear" w:pos="680"/>
      </w:tabs>
    </w:pPr>
  </w:style>
  <w:style w:type="paragraph" w:customStyle="1" w:styleId="SuperHeading">
    <w:name w:val="SuperHeading"/>
    <w:basedOn w:val="Normal"/>
    <w:rsid w:val="00424BC6"/>
    <w:pPr>
      <w:spacing w:before="240" w:after="120"/>
      <w:outlineLvl w:val="0"/>
    </w:pPr>
    <w:rPr>
      <w:rFonts w:ascii="Times New Roman" w:hAnsi="Times New Roman"/>
      <w:b/>
      <w:sz w:val="32"/>
    </w:rPr>
  </w:style>
  <w:style w:type="paragraph" w:customStyle="1" w:styleId="AllowPageBreak">
    <w:name w:val="AllowPageBreak"/>
    <w:rsid w:val="00424B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BC6"/>
    <w:rPr>
      <w:rFonts w:ascii="Courier New" w:eastAsia="Times New Roman" w:hAnsi="Courier New" w:cs="Times New Roman"/>
      <w:i/>
      <w:szCs w:val="20"/>
      <w:lang w:eastAsia="en-US"/>
    </w:rPr>
  </w:style>
  <w:style w:type="paragraph" w:customStyle="1" w:styleId="HeadingBase">
    <w:name w:val="Heading Base"/>
    <w:rsid w:val="00424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BC6"/>
    <w:pPr>
      <w:tabs>
        <w:tab w:val="right" w:leader="dot" w:pos="9072"/>
      </w:tabs>
      <w:ind w:left="567"/>
    </w:pPr>
    <w:rPr>
      <w:szCs w:val="22"/>
    </w:rPr>
  </w:style>
  <w:style w:type="paragraph" w:customStyle="1" w:styleId="TOCBase">
    <w:name w:val="TOC Base"/>
    <w:rsid w:val="00424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BC6"/>
    <w:pPr>
      <w:tabs>
        <w:tab w:val="right" w:leader="dot" w:pos="9072"/>
      </w:tabs>
      <w:spacing w:before="40" w:after="40"/>
      <w:ind w:left="284"/>
    </w:pPr>
    <w:rPr>
      <w:rFonts w:ascii="Times New Roman" w:hAnsi="Times New Roman"/>
    </w:rPr>
  </w:style>
  <w:style w:type="paragraph" w:styleId="TOC1">
    <w:name w:val="toc 1"/>
    <w:basedOn w:val="TOCBase"/>
    <w:next w:val="Normal"/>
    <w:rsid w:val="00424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BC6"/>
    <w:rPr>
      <w:rFonts w:ascii="Times New Roman" w:eastAsia="Times New Roman" w:hAnsi="Times New Roman" w:cs="Times New Roman"/>
      <w:sz w:val="16"/>
      <w:lang w:eastAsia="en-US"/>
    </w:rPr>
  </w:style>
  <w:style w:type="paragraph" w:styleId="Title">
    <w:name w:val="Title"/>
    <w:basedOn w:val="HeadingBase"/>
    <w:link w:val="TitleChar"/>
    <w:qFormat/>
    <w:rsid w:val="00424BC6"/>
    <w:pPr>
      <w:spacing w:before="5040"/>
      <w:jc w:val="center"/>
    </w:pPr>
    <w:rPr>
      <w:sz w:val="48"/>
      <w:szCs w:val="72"/>
      <w:lang w:val="en-US"/>
    </w:rPr>
  </w:style>
  <w:style w:type="character" w:customStyle="1" w:styleId="TitleChar">
    <w:name w:val="Title Char"/>
    <w:basedOn w:val="DefaultParagraphFont"/>
    <w:link w:val="Title"/>
    <w:rsid w:val="00424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BC6"/>
    <w:pPr>
      <w:tabs>
        <w:tab w:val="left" w:pos="3600"/>
        <w:tab w:val="left" w:pos="3958"/>
      </w:tabs>
    </w:pPr>
  </w:style>
  <w:style w:type="paragraph" w:styleId="List">
    <w:name w:val="List"/>
    <w:basedOn w:val="BodyText"/>
    <w:next w:val="BodyText"/>
    <w:rsid w:val="00424BC6"/>
    <w:pPr>
      <w:tabs>
        <w:tab w:val="left" w:pos="340"/>
      </w:tabs>
      <w:spacing w:before="60" w:after="60"/>
      <w:ind w:left="340" w:hanging="340"/>
    </w:pPr>
  </w:style>
  <w:style w:type="paragraph" w:customStyle="1" w:styleId="Note">
    <w:name w:val="Note"/>
    <w:basedOn w:val="BodyText"/>
    <w:rsid w:val="00424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BC6"/>
    <w:pPr>
      <w:framePr w:wrap="auto" w:hAnchor="text" w:y="6049"/>
    </w:pPr>
    <w:rPr>
      <w:color w:val="000000"/>
      <w:sz w:val="40"/>
    </w:rPr>
  </w:style>
  <w:style w:type="paragraph" w:customStyle="1" w:styleId="TOCTitle">
    <w:name w:val="TOCTitle"/>
    <w:basedOn w:val="Heading1"/>
    <w:rsid w:val="00424BC6"/>
    <w:pPr>
      <w:spacing w:after="240"/>
      <w:jc w:val="center"/>
      <w:outlineLvl w:val="9"/>
    </w:pPr>
    <w:rPr>
      <w:caps/>
    </w:rPr>
  </w:style>
  <w:style w:type="paragraph" w:customStyle="1" w:styleId="Version">
    <w:name w:val="Version"/>
    <w:rsid w:val="00424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BC6"/>
    <w:pPr>
      <w:keepNext w:val="0"/>
      <w:tabs>
        <w:tab w:val="right" w:pos="4176"/>
      </w:tabs>
      <w:ind w:left="198" w:hanging="198"/>
    </w:pPr>
    <w:rPr>
      <w:rFonts w:ascii="Garamond" w:hAnsi="Garamond"/>
    </w:rPr>
  </w:style>
  <w:style w:type="paragraph" w:styleId="IndexHeading">
    <w:name w:val="index heading"/>
    <w:basedOn w:val="Normal"/>
    <w:next w:val="Index1"/>
    <w:semiHidden/>
    <w:rsid w:val="00424BC6"/>
    <w:pPr>
      <w:spacing w:before="120" w:after="120"/>
    </w:pPr>
    <w:rPr>
      <w:rFonts w:ascii="Arial" w:hAnsi="Arial"/>
      <w:b/>
      <w:color w:val="918585"/>
      <w:sz w:val="24"/>
    </w:rPr>
  </w:style>
  <w:style w:type="paragraph" w:styleId="Header">
    <w:name w:val="header"/>
    <w:basedOn w:val="Normal"/>
    <w:link w:val="HeaderChar"/>
    <w:rsid w:val="00424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BC6"/>
    <w:rPr>
      <w:rFonts w:ascii="Times New Roman" w:eastAsia="Times New Roman" w:hAnsi="Times New Roman" w:cs="Times New Roman"/>
      <w:sz w:val="16"/>
      <w:szCs w:val="20"/>
      <w:lang w:val="en-GB" w:eastAsia="en-US"/>
    </w:rPr>
  </w:style>
  <w:style w:type="paragraph" w:customStyle="1" w:styleId="Chapter">
    <w:name w:val="Chapter"/>
    <w:basedOn w:val="Normal"/>
    <w:rsid w:val="00424BC6"/>
    <w:pPr>
      <w:spacing w:before="240"/>
    </w:pPr>
    <w:rPr>
      <w:rFonts w:ascii="Times New Roman" w:hAnsi="Times New Roman"/>
      <w:smallCaps/>
      <w:spacing w:val="80"/>
      <w:sz w:val="28"/>
    </w:rPr>
  </w:style>
  <w:style w:type="paragraph" w:customStyle="1" w:styleId="InChapter">
    <w:name w:val="InChapter"/>
    <w:basedOn w:val="Heading3"/>
    <w:rsid w:val="00424BC6"/>
    <w:pPr>
      <w:spacing w:after="240"/>
      <w:outlineLvl w:val="9"/>
    </w:pPr>
    <w:rPr>
      <w:noProof/>
    </w:rPr>
  </w:style>
  <w:style w:type="paragraph" w:styleId="Index2">
    <w:name w:val="index 2"/>
    <w:basedOn w:val="Normal"/>
    <w:next w:val="Normal"/>
    <w:semiHidden/>
    <w:rsid w:val="00424BC6"/>
    <w:pPr>
      <w:tabs>
        <w:tab w:val="right" w:pos="4176"/>
      </w:tabs>
      <w:ind w:left="568" w:hanging="284"/>
    </w:pPr>
    <w:rPr>
      <w:rFonts w:ascii="Garamond" w:hAnsi="Garamond"/>
    </w:rPr>
  </w:style>
  <w:style w:type="paragraph" w:customStyle="1" w:styleId="Byline">
    <w:name w:val="Byline"/>
    <w:rsid w:val="00424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BC6"/>
    <w:pPr>
      <w:tabs>
        <w:tab w:val="clear" w:pos="3600"/>
        <w:tab w:val="clear" w:pos="3958"/>
      </w:tabs>
      <w:jc w:val="right"/>
    </w:pPr>
  </w:style>
  <w:style w:type="character" w:styleId="Emphasis">
    <w:name w:val="Emphasis"/>
    <w:basedOn w:val="DefaultParagraphFont"/>
    <w:qFormat/>
    <w:rsid w:val="00424BC6"/>
    <w:rPr>
      <w:i/>
    </w:rPr>
  </w:style>
  <w:style w:type="paragraph" w:styleId="Caption">
    <w:name w:val="caption"/>
    <w:basedOn w:val="BodyText"/>
    <w:next w:val="Normal"/>
    <w:qFormat/>
    <w:rsid w:val="00424BC6"/>
    <w:pPr>
      <w:framePr w:w="2268" w:hSpace="181" w:vSpace="181" w:wrap="around" w:vAnchor="text" w:hAnchor="page" w:x="1135" w:y="285" w:anchorLock="1"/>
    </w:pPr>
    <w:rPr>
      <w:i/>
    </w:rPr>
  </w:style>
  <w:style w:type="paragraph" w:customStyle="1" w:styleId="MiniTOCTitle">
    <w:name w:val="MiniTOCTitle"/>
    <w:basedOn w:val="Heading4"/>
    <w:rsid w:val="00424BC6"/>
    <w:pPr>
      <w:spacing w:before="240"/>
      <w:outlineLvl w:val="9"/>
    </w:pPr>
    <w:rPr>
      <w:noProof/>
      <w:sz w:val="24"/>
    </w:rPr>
  </w:style>
  <w:style w:type="paragraph" w:customStyle="1" w:styleId="MiniTOCItem">
    <w:name w:val="MiniTOCItem"/>
    <w:basedOn w:val="ListBullet"/>
    <w:rsid w:val="00424BC6"/>
    <w:pPr>
      <w:numPr>
        <w:numId w:val="0"/>
      </w:numPr>
      <w:tabs>
        <w:tab w:val="right" w:leader="dot" w:pos="6521"/>
      </w:tabs>
      <w:spacing w:before="0" w:after="0"/>
    </w:pPr>
  </w:style>
  <w:style w:type="paragraph" w:customStyle="1" w:styleId="TOFTitle">
    <w:name w:val="TOFTitle"/>
    <w:basedOn w:val="TOCTitle"/>
    <w:rsid w:val="00424BC6"/>
  </w:style>
  <w:style w:type="paragraph" w:styleId="TableofFigures">
    <w:name w:val="table of figures"/>
    <w:basedOn w:val="Normal"/>
    <w:next w:val="Normal"/>
    <w:semiHidden/>
    <w:rsid w:val="00424BC6"/>
    <w:pPr>
      <w:tabs>
        <w:tab w:val="right" w:leader="dot" w:pos="9072"/>
      </w:tabs>
      <w:ind w:left="970" w:hanging="403"/>
    </w:pPr>
    <w:rPr>
      <w:rFonts w:ascii="Times New Roman" w:hAnsi="Times New Roman"/>
      <w:b/>
    </w:rPr>
  </w:style>
  <w:style w:type="paragraph" w:styleId="ListNumber">
    <w:name w:val="List Number"/>
    <w:basedOn w:val="List"/>
    <w:rsid w:val="00424BC6"/>
    <w:pPr>
      <w:numPr>
        <w:numId w:val="15"/>
      </w:numPr>
      <w:tabs>
        <w:tab w:val="clear" w:pos="340"/>
      </w:tabs>
    </w:pPr>
  </w:style>
  <w:style w:type="character" w:customStyle="1" w:styleId="WingdingSymbols">
    <w:name w:val="Wingding Symbols"/>
    <w:rsid w:val="00424BC6"/>
    <w:rPr>
      <w:rFonts w:ascii="Wingdings" w:hAnsi="Wingdings"/>
    </w:rPr>
  </w:style>
  <w:style w:type="paragraph" w:customStyle="1" w:styleId="TableHeading">
    <w:name w:val="Table Heading"/>
    <w:basedOn w:val="HeadingBase"/>
    <w:rsid w:val="00424BC6"/>
    <w:pPr>
      <w:keepLines/>
      <w:pBdr>
        <w:bottom w:val="single" w:sz="6" w:space="1" w:color="918585"/>
      </w:pBdr>
      <w:spacing w:before="240"/>
    </w:pPr>
  </w:style>
  <w:style w:type="character" w:customStyle="1" w:styleId="HotSpot">
    <w:name w:val="HotSpot"/>
    <w:rsid w:val="00424BC6"/>
    <w:rPr>
      <w:color w:val="0033CC"/>
      <w:u w:val="none"/>
    </w:rPr>
  </w:style>
  <w:style w:type="paragraph" w:customStyle="1" w:styleId="BodyTextRight">
    <w:name w:val="Body Text Right"/>
    <w:basedOn w:val="BodyText"/>
    <w:rsid w:val="00424BC6"/>
    <w:pPr>
      <w:spacing w:before="0" w:after="0"/>
      <w:jc w:val="right"/>
    </w:pPr>
  </w:style>
  <w:style w:type="paragraph" w:styleId="Index3">
    <w:name w:val="index 3"/>
    <w:basedOn w:val="ListNumber2"/>
    <w:next w:val="Normal"/>
    <w:semiHidden/>
    <w:rsid w:val="00424BC6"/>
    <w:pPr>
      <w:numPr>
        <w:numId w:val="0"/>
      </w:numPr>
      <w:tabs>
        <w:tab w:val="right" w:leader="dot" w:pos="4176"/>
      </w:tabs>
    </w:pPr>
  </w:style>
  <w:style w:type="paragraph" w:styleId="ListNumber2">
    <w:name w:val="List Number 2"/>
    <w:basedOn w:val="List2"/>
    <w:rsid w:val="00424BC6"/>
    <w:pPr>
      <w:numPr>
        <w:numId w:val="10"/>
      </w:numPr>
      <w:tabs>
        <w:tab w:val="clear" w:pos="1060"/>
      </w:tabs>
    </w:pPr>
  </w:style>
  <w:style w:type="paragraph" w:customStyle="1" w:styleId="MarginNote">
    <w:name w:val="Margin Note"/>
    <w:basedOn w:val="BodyText"/>
    <w:rsid w:val="00424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BC6"/>
    <w:rPr>
      <w:sz w:val="32"/>
    </w:rPr>
  </w:style>
  <w:style w:type="paragraph" w:customStyle="1" w:styleId="HeadingProcedure">
    <w:name w:val="Heading Procedure"/>
    <w:basedOn w:val="HeadingBase"/>
    <w:next w:val="Normal"/>
    <w:rsid w:val="00424BC6"/>
    <w:pPr>
      <w:tabs>
        <w:tab w:val="left" w:pos="0"/>
      </w:tabs>
      <w:spacing w:before="120" w:after="60"/>
    </w:pPr>
    <w:rPr>
      <w:i/>
      <w:color w:val="918585"/>
      <w:sz w:val="22"/>
    </w:rPr>
  </w:style>
  <w:style w:type="paragraph" w:customStyle="1" w:styleId="TableBodyText">
    <w:name w:val="Table Body Text"/>
    <w:basedOn w:val="BodyText"/>
    <w:rsid w:val="00424BC6"/>
    <w:pPr>
      <w:spacing w:before="60" w:after="60"/>
    </w:pPr>
  </w:style>
  <w:style w:type="paragraph" w:styleId="ListContinue">
    <w:name w:val="List Continue"/>
    <w:basedOn w:val="List"/>
    <w:rsid w:val="00424BC6"/>
    <w:pPr>
      <w:ind w:firstLine="0"/>
    </w:pPr>
  </w:style>
  <w:style w:type="paragraph" w:customStyle="1" w:styleId="ListNote">
    <w:name w:val="List Note"/>
    <w:basedOn w:val="List"/>
    <w:rsid w:val="00424BC6"/>
    <w:pPr>
      <w:pBdr>
        <w:top w:val="single" w:sz="6" w:space="2" w:color="918585"/>
        <w:bottom w:val="single" w:sz="6" w:space="2" w:color="918585"/>
      </w:pBdr>
      <w:tabs>
        <w:tab w:val="left" w:pos="1021"/>
      </w:tabs>
      <w:ind w:firstLine="0"/>
    </w:pPr>
  </w:style>
  <w:style w:type="paragraph" w:customStyle="1" w:styleId="Warning">
    <w:name w:val="Warning"/>
    <w:basedOn w:val="BodyText"/>
    <w:rsid w:val="00424BC6"/>
    <w:pPr>
      <w:shd w:val="clear" w:color="auto" w:fill="D9D9D9"/>
      <w:tabs>
        <w:tab w:val="left" w:pos="992"/>
      </w:tabs>
      <w:ind w:left="119" w:right="119"/>
    </w:pPr>
    <w:rPr>
      <w:sz w:val="20"/>
    </w:rPr>
  </w:style>
  <w:style w:type="paragraph" w:customStyle="1" w:styleId="MarginIcons">
    <w:name w:val="Margin Icons"/>
    <w:basedOn w:val="BodyText"/>
    <w:rsid w:val="00424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BC6"/>
    <w:rPr>
      <w:rFonts w:ascii="Courier New" w:hAnsi="Courier New"/>
    </w:rPr>
  </w:style>
  <w:style w:type="paragraph" w:customStyle="1" w:styleId="NoteBullet">
    <w:name w:val="Note Bullet"/>
    <w:basedOn w:val="Note"/>
    <w:rsid w:val="00424BC6"/>
    <w:pPr>
      <w:tabs>
        <w:tab w:val="clear" w:pos="680"/>
      </w:tabs>
      <w:spacing w:before="60" w:after="60"/>
    </w:pPr>
  </w:style>
  <w:style w:type="paragraph" w:customStyle="1" w:styleId="SubHeading2">
    <w:name w:val="SubHeading2"/>
    <w:basedOn w:val="HeadingBase"/>
    <w:rsid w:val="00424BC6"/>
    <w:pPr>
      <w:spacing w:before="240" w:after="60"/>
    </w:pPr>
    <w:rPr>
      <w:sz w:val="20"/>
    </w:rPr>
  </w:style>
  <w:style w:type="paragraph" w:customStyle="1" w:styleId="SubHeading1">
    <w:name w:val="SubHeading1"/>
    <w:basedOn w:val="HeadingBase"/>
    <w:rsid w:val="00424BC6"/>
    <w:pPr>
      <w:spacing w:before="240" w:after="60"/>
    </w:pPr>
    <w:rPr>
      <w:color w:val="918585"/>
      <w:sz w:val="22"/>
    </w:rPr>
  </w:style>
  <w:style w:type="paragraph" w:customStyle="1" w:styleId="SideHeading">
    <w:name w:val="Side Heading"/>
    <w:basedOn w:val="HeadingBase"/>
    <w:rsid w:val="00424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BC6"/>
    <w:pPr>
      <w:tabs>
        <w:tab w:val="num" w:pos="360"/>
      </w:tabs>
    </w:pPr>
  </w:style>
  <w:style w:type="paragraph" w:styleId="PlainText">
    <w:name w:val="Plain Text"/>
    <w:basedOn w:val="Normal"/>
    <w:link w:val="PlainTextChar"/>
    <w:rsid w:val="00424BC6"/>
    <w:rPr>
      <w:sz w:val="20"/>
    </w:rPr>
  </w:style>
  <w:style w:type="character" w:customStyle="1" w:styleId="PlainTextChar">
    <w:name w:val="Plain Text Char"/>
    <w:basedOn w:val="DefaultParagraphFont"/>
    <w:link w:val="PlainText"/>
    <w:rsid w:val="00424BC6"/>
    <w:rPr>
      <w:rFonts w:ascii="Courier New" w:eastAsia="Times New Roman" w:hAnsi="Courier New" w:cs="Times New Roman"/>
      <w:sz w:val="20"/>
      <w:szCs w:val="20"/>
      <w:lang w:eastAsia="en-US"/>
    </w:rPr>
  </w:style>
  <w:style w:type="character" w:customStyle="1" w:styleId="MenuOption">
    <w:name w:val="Menu Option"/>
    <w:basedOn w:val="DefaultParagraphFont"/>
    <w:rsid w:val="00424BC6"/>
    <w:rPr>
      <w:b/>
      <w:smallCaps/>
    </w:rPr>
  </w:style>
  <w:style w:type="paragraph" w:customStyle="1" w:styleId="TableListNumber">
    <w:name w:val="Table List Number"/>
    <w:basedOn w:val="ListNumber"/>
    <w:rsid w:val="00424BC6"/>
    <w:pPr>
      <w:numPr>
        <w:numId w:val="0"/>
      </w:numPr>
    </w:pPr>
  </w:style>
  <w:style w:type="paragraph" w:styleId="TOC4">
    <w:name w:val="toc 4"/>
    <w:basedOn w:val="TOCBase"/>
    <w:next w:val="Normal"/>
    <w:semiHidden/>
    <w:rsid w:val="00424BC6"/>
    <w:pPr>
      <w:tabs>
        <w:tab w:val="right" w:leader="dot" w:pos="9071"/>
      </w:tabs>
      <w:ind w:left="1701"/>
    </w:pPr>
  </w:style>
  <w:style w:type="paragraph" w:customStyle="1" w:styleId="ListAlpha">
    <w:name w:val="List Alpha"/>
    <w:basedOn w:val="List"/>
    <w:rsid w:val="00424BC6"/>
    <w:pPr>
      <w:numPr>
        <w:numId w:val="9"/>
      </w:numPr>
    </w:pPr>
  </w:style>
  <w:style w:type="paragraph" w:customStyle="1" w:styleId="ListAlpha2">
    <w:name w:val="List Alpha 2"/>
    <w:basedOn w:val="List2"/>
    <w:rsid w:val="00424BC6"/>
    <w:pPr>
      <w:numPr>
        <w:numId w:val="8"/>
      </w:numPr>
    </w:pPr>
  </w:style>
  <w:style w:type="paragraph" w:styleId="List2">
    <w:name w:val="List 2"/>
    <w:basedOn w:val="BodyText"/>
    <w:rsid w:val="00424BC6"/>
    <w:pPr>
      <w:tabs>
        <w:tab w:val="left" w:pos="680"/>
      </w:tabs>
      <w:spacing w:before="60" w:after="60"/>
      <w:ind w:left="680" w:hanging="340"/>
    </w:pPr>
  </w:style>
  <w:style w:type="paragraph" w:styleId="List3">
    <w:name w:val="List 3"/>
    <w:basedOn w:val="BodyText"/>
    <w:rsid w:val="00424BC6"/>
    <w:pPr>
      <w:tabs>
        <w:tab w:val="left" w:pos="1021"/>
      </w:tabs>
      <w:spacing w:before="60" w:after="60"/>
      <w:ind w:left="1020" w:hanging="340"/>
    </w:pPr>
  </w:style>
  <w:style w:type="paragraph" w:styleId="List4">
    <w:name w:val="List 4"/>
    <w:basedOn w:val="BodyText"/>
    <w:rsid w:val="00424BC6"/>
    <w:pPr>
      <w:tabs>
        <w:tab w:val="left" w:pos="1361"/>
      </w:tabs>
      <w:spacing w:before="60" w:after="60"/>
      <w:ind w:left="1361" w:hanging="340"/>
    </w:pPr>
  </w:style>
  <w:style w:type="paragraph" w:styleId="List5">
    <w:name w:val="List 5"/>
    <w:basedOn w:val="BodyText"/>
    <w:rsid w:val="00424BC6"/>
    <w:pPr>
      <w:tabs>
        <w:tab w:val="left" w:pos="1701"/>
      </w:tabs>
      <w:spacing w:before="60" w:after="60"/>
      <w:ind w:left="1701" w:hanging="340"/>
    </w:pPr>
  </w:style>
  <w:style w:type="paragraph" w:styleId="ListBullet3">
    <w:name w:val="List Bullet 3"/>
    <w:basedOn w:val="List3"/>
    <w:rsid w:val="00424BC6"/>
    <w:pPr>
      <w:numPr>
        <w:numId w:val="14"/>
      </w:numPr>
      <w:tabs>
        <w:tab w:val="clear" w:pos="1021"/>
      </w:tabs>
      <w:ind w:left="1037" w:hanging="357"/>
    </w:pPr>
  </w:style>
  <w:style w:type="paragraph" w:styleId="ListBullet4">
    <w:name w:val="List Bullet 4"/>
    <w:basedOn w:val="List4"/>
    <w:rsid w:val="00424BC6"/>
    <w:pPr>
      <w:numPr>
        <w:numId w:val="3"/>
      </w:numPr>
      <w:tabs>
        <w:tab w:val="clear" w:pos="1361"/>
      </w:tabs>
    </w:pPr>
  </w:style>
  <w:style w:type="paragraph" w:styleId="ListBullet5">
    <w:name w:val="List Bullet 5"/>
    <w:basedOn w:val="List5"/>
    <w:rsid w:val="00424BC6"/>
    <w:pPr>
      <w:numPr>
        <w:numId w:val="4"/>
      </w:numPr>
    </w:pPr>
  </w:style>
  <w:style w:type="paragraph" w:styleId="ListContinue2">
    <w:name w:val="List Continue 2"/>
    <w:basedOn w:val="List2"/>
    <w:rsid w:val="00424BC6"/>
    <w:pPr>
      <w:ind w:firstLine="0"/>
    </w:pPr>
  </w:style>
  <w:style w:type="paragraph" w:styleId="ListContinue3">
    <w:name w:val="List Continue 3"/>
    <w:basedOn w:val="List3"/>
    <w:rsid w:val="00424BC6"/>
    <w:pPr>
      <w:ind w:left="1021" w:firstLine="0"/>
    </w:pPr>
  </w:style>
  <w:style w:type="paragraph" w:styleId="ListContinue4">
    <w:name w:val="List Continue 4"/>
    <w:basedOn w:val="List4"/>
    <w:rsid w:val="00424BC6"/>
    <w:pPr>
      <w:ind w:firstLine="0"/>
    </w:pPr>
  </w:style>
  <w:style w:type="paragraph" w:styleId="ListContinue5">
    <w:name w:val="List Continue 5"/>
    <w:basedOn w:val="List5"/>
    <w:rsid w:val="00424BC6"/>
    <w:pPr>
      <w:ind w:firstLine="0"/>
    </w:pPr>
  </w:style>
  <w:style w:type="paragraph" w:styleId="ListNumber3">
    <w:name w:val="List Number 3"/>
    <w:basedOn w:val="List3"/>
    <w:rsid w:val="00424BC6"/>
    <w:pPr>
      <w:numPr>
        <w:numId w:val="5"/>
      </w:numPr>
    </w:pPr>
  </w:style>
  <w:style w:type="paragraph" w:styleId="ListNumber4">
    <w:name w:val="List Number 4"/>
    <w:basedOn w:val="List4"/>
    <w:rsid w:val="00424BC6"/>
    <w:pPr>
      <w:numPr>
        <w:numId w:val="6"/>
      </w:numPr>
    </w:pPr>
  </w:style>
  <w:style w:type="paragraph" w:styleId="ListNumber5">
    <w:name w:val="List Number 5"/>
    <w:basedOn w:val="List5"/>
    <w:rsid w:val="00424BC6"/>
    <w:pPr>
      <w:numPr>
        <w:numId w:val="7"/>
      </w:numPr>
    </w:pPr>
  </w:style>
  <w:style w:type="paragraph" w:styleId="BlockText">
    <w:name w:val="Block Text"/>
    <w:basedOn w:val="Normal"/>
    <w:rsid w:val="00424BC6"/>
    <w:pPr>
      <w:spacing w:after="120"/>
      <w:ind w:left="1440" w:right="1440"/>
    </w:pPr>
  </w:style>
  <w:style w:type="character" w:customStyle="1" w:styleId="Subscript">
    <w:name w:val="Subscript"/>
    <w:basedOn w:val="DefaultParagraphFont"/>
    <w:rsid w:val="00424BC6"/>
    <w:rPr>
      <w:sz w:val="16"/>
      <w:vertAlign w:val="subscript"/>
    </w:rPr>
  </w:style>
  <w:style w:type="character" w:customStyle="1" w:styleId="Superscript">
    <w:name w:val="Superscript"/>
    <w:basedOn w:val="DefaultParagraphFont"/>
    <w:rsid w:val="00424BC6"/>
    <w:rPr>
      <w:sz w:val="16"/>
      <w:vertAlign w:val="superscript"/>
    </w:rPr>
  </w:style>
  <w:style w:type="character" w:customStyle="1" w:styleId="Symbols">
    <w:name w:val="Symbols"/>
    <w:basedOn w:val="DefaultParagraphFont"/>
    <w:rsid w:val="00424BC6"/>
    <w:rPr>
      <w:rFonts w:ascii="Symbol" w:hAnsi="Symbol"/>
    </w:rPr>
  </w:style>
  <w:style w:type="character" w:customStyle="1" w:styleId="MenuOptions">
    <w:name w:val="Menu Options"/>
    <w:basedOn w:val="DefaultParagraphFont"/>
    <w:rsid w:val="00424BC6"/>
    <w:rPr>
      <w:rFonts w:ascii="Arial Narrow" w:hAnsi="Arial Narrow"/>
      <w:smallCaps/>
    </w:rPr>
  </w:style>
  <w:style w:type="character" w:customStyle="1" w:styleId="Buttons">
    <w:name w:val="Buttons"/>
    <w:basedOn w:val="DefaultParagraphFont"/>
    <w:rsid w:val="00424BC6"/>
    <w:rPr>
      <w:b/>
    </w:rPr>
  </w:style>
  <w:style w:type="character" w:customStyle="1" w:styleId="Underlined">
    <w:name w:val="Underlined"/>
    <w:basedOn w:val="DefaultParagraphFont"/>
    <w:rsid w:val="00424BC6"/>
    <w:rPr>
      <w:u w:val="single"/>
    </w:rPr>
  </w:style>
  <w:style w:type="paragraph" w:customStyle="1" w:styleId="TableBodyTextRight">
    <w:name w:val="Table Body Text Right"/>
    <w:basedOn w:val="TableBodyText"/>
    <w:rsid w:val="00424BC6"/>
    <w:pPr>
      <w:widowControl w:val="0"/>
      <w:autoSpaceDE w:val="0"/>
      <w:autoSpaceDN w:val="0"/>
      <w:adjustRightInd w:val="0"/>
      <w:jc w:val="right"/>
    </w:pPr>
    <w:rPr>
      <w:rFonts w:cs="Arial"/>
      <w:szCs w:val="18"/>
    </w:rPr>
  </w:style>
  <w:style w:type="paragraph" w:customStyle="1" w:styleId="CopyrightText">
    <w:name w:val="Copyright Text"/>
    <w:basedOn w:val="BodyText"/>
    <w:rsid w:val="00424BC6"/>
    <w:rPr>
      <w:sz w:val="18"/>
    </w:rPr>
  </w:style>
  <w:style w:type="paragraph" w:customStyle="1" w:styleId="BodySmallRight">
    <w:name w:val="Body Small Right"/>
    <w:basedOn w:val="BodyTextRight"/>
    <w:rsid w:val="00424BC6"/>
    <w:rPr>
      <w:sz w:val="18"/>
      <w:szCs w:val="18"/>
    </w:rPr>
  </w:style>
  <w:style w:type="paragraph" w:customStyle="1" w:styleId="MarginEdition">
    <w:name w:val="Margin Edition"/>
    <w:basedOn w:val="MarginNote"/>
    <w:rsid w:val="00424BC6"/>
    <w:pPr>
      <w:spacing w:before="0" w:after="0"/>
    </w:pPr>
    <w:rPr>
      <w:rFonts w:ascii="Times New Roman" w:hAnsi="Times New Roman"/>
      <w:color w:val="999999"/>
    </w:rPr>
  </w:style>
  <w:style w:type="paragraph" w:customStyle="1" w:styleId="Spacer">
    <w:name w:val="Spacer"/>
    <w:basedOn w:val="Normal"/>
    <w:rsid w:val="00424BC6"/>
    <w:rPr>
      <w:sz w:val="2"/>
      <w:szCs w:val="2"/>
    </w:rPr>
  </w:style>
  <w:style w:type="character" w:customStyle="1" w:styleId="Small">
    <w:name w:val="Small"/>
    <w:basedOn w:val="DefaultParagraphFont"/>
    <w:rsid w:val="00424BC6"/>
    <w:rPr>
      <w:sz w:val="16"/>
    </w:rPr>
  </w:style>
  <w:style w:type="paragraph" w:customStyle="1" w:styleId="WideTable">
    <w:name w:val="Wide Table"/>
    <w:basedOn w:val="Normal"/>
    <w:rsid w:val="00424BC6"/>
    <w:pPr>
      <w:ind w:left="-1418"/>
    </w:pPr>
    <w:rPr>
      <w:sz w:val="2"/>
      <w:szCs w:val="2"/>
    </w:rPr>
  </w:style>
  <w:style w:type="character" w:styleId="PageNumber">
    <w:name w:val="page number"/>
    <w:basedOn w:val="DefaultParagraphFont"/>
    <w:rsid w:val="00424BC6"/>
  </w:style>
  <w:style w:type="paragraph" w:styleId="Quote">
    <w:name w:val="Quote"/>
    <w:basedOn w:val="Heading1"/>
    <w:link w:val="QuoteChar"/>
    <w:qFormat/>
    <w:rsid w:val="00424BC6"/>
    <w:rPr>
      <w:b w:val="0"/>
      <w:sz w:val="72"/>
      <w:szCs w:val="72"/>
      <w:lang w:val="en-NZ"/>
    </w:rPr>
  </w:style>
  <w:style w:type="character" w:customStyle="1" w:styleId="QuoteChar">
    <w:name w:val="Quote Char"/>
    <w:basedOn w:val="DefaultParagraphFont"/>
    <w:link w:val="Quote"/>
    <w:rsid w:val="00424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BC6"/>
    <w:pPr>
      <w:pageBreakBefore/>
    </w:pPr>
  </w:style>
  <w:style w:type="paragraph" w:customStyle="1" w:styleId="Border">
    <w:name w:val="Border"/>
    <w:basedOn w:val="Normal"/>
    <w:qFormat/>
    <w:rsid w:val="00424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BC6"/>
    <w:rPr>
      <w:b/>
      <w:bCs/>
      <w:i/>
      <w:iCs/>
      <w:color w:val="auto"/>
    </w:rPr>
  </w:style>
  <w:style w:type="paragraph" w:styleId="IntenseQuote">
    <w:name w:val="Intense Quote"/>
    <w:basedOn w:val="Normal"/>
    <w:next w:val="Normal"/>
    <w:link w:val="IntenseQuoteChar"/>
    <w:uiPriority w:val="30"/>
    <w:qFormat/>
    <w:rsid w:val="00424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BC6"/>
    <w:rPr>
      <w:smallCaps/>
      <w:color w:val="auto"/>
      <w:u w:val="single"/>
    </w:rPr>
  </w:style>
  <w:style w:type="character" w:styleId="IntenseReference">
    <w:name w:val="Intense Reference"/>
    <w:basedOn w:val="DefaultParagraphFont"/>
    <w:uiPriority w:val="32"/>
    <w:qFormat/>
    <w:rsid w:val="00424BC6"/>
    <w:rPr>
      <w:b/>
      <w:bCs/>
      <w:smallCaps/>
      <w:color w:val="auto"/>
      <w:spacing w:val="5"/>
      <w:u w:val="single"/>
    </w:rPr>
  </w:style>
  <w:style w:type="paragraph" w:customStyle="1" w:styleId="2ColumnHeading">
    <w:name w:val="2Column Heading"/>
    <w:basedOn w:val="BodyText"/>
    <w:qFormat/>
    <w:rsid w:val="00424BC6"/>
    <w:pPr>
      <w:spacing w:after="60"/>
      <w:ind w:left="-2268"/>
    </w:pPr>
    <w:rPr>
      <w:b/>
    </w:rPr>
  </w:style>
  <w:style w:type="paragraph" w:customStyle="1" w:styleId="Heading1TOC">
    <w:name w:val="Heading1 TOC"/>
    <w:basedOn w:val="Normal"/>
    <w:qFormat/>
    <w:rsid w:val="00424BC6"/>
    <w:pPr>
      <w:spacing w:before="240" w:after="120"/>
    </w:pPr>
    <w:rPr>
      <w:rFonts w:ascii="Times New Roman" w:hAnsi="Times New Roman"/>
      <w:b/>
      <w:sz w:val="32"/>
    </w:rPr>
  </w:style>
  <w:style w:type="paragraph" w:customStyle="1" w:styleId="Heading2TOC">
    <w:name w:val="Heading2 TOC"/>
    <w:basedOn w:val="Normal"/>
    <w:qFormat/>
    <w:rsid w:val="00424BC6"/>
    <w:pPr>
      <w:spacing w:before="240" w:after="60"/>
    </w:pPr>
    <w:rPr>
      <w:rFonts w:ascii="Times New Roman" w:hAnsi="Times New Roman"/>
      <w:b/>
      <w:sz w:val="28"/>
    </w:rPr>
  </w:style>
  <w:style w:type="character" w:customStyle="1" w:styleId="Underline">
    <w:name w:val="Underline"/>
    <w:basedOn w:val="DefaultParagraphFont"/>
    <w:qFormat/>
    <w:rsid w:val="00424BC6"/>
    <w:rPr>
      <w:u w:val="single"/>
    </w:rPr>
  </w:style>
  <w:style w:type="character" w:customStyle="1" w:styleId="BoldandItalics">
    <w:name w:val="Bold and Italics"/>
    <w:qFormat/>
    <w:rsid w:val="00424BC6"/>
    <w:rPr>
      <w:b/>
      <w:i/>
      <w:u w:val="none"/>
    </w:rPr>
  </w:style>
  <w:style w:type="paragraph" w:styleId="BalloonText">
    <w:name w:val="Balloon Text"/>
    <w:basedOn w:val="Normal"/>
    <w:link w:val="BalloonTextChar"/>
    <w:rsid w:val="00424BC6"/>
    <w:rPr>
      <w:rFonts w:ascii="Tahoma" w:hAnsi="Tahoma" w:cs="Tahoma"/>
      <w:sz w:val="16"/>
      <w:szCs w:val="16"/>
    </w:rPr>
  </w:style>
  <w:style w:type="character" w:customStyle="1" w:styleId="BalloonTextChar">
    <w:name w:val="Balloon Text Char"/>
    <w:basedOn w:val="DefaultParagraphFont"/>
    <w:link w:val="BalloonText"/>
    <w:rsid w:val="00424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BC6"/>
    <w:rPr>
      <w:b/>
      <w:color w:val="660033"/>
      <w:spacing w:val="0"/>
    </w:rPr>
  </w:style>
  <w:style w:type="paragraph" w:customStyle="1" w:styleId="Nameditemlist">
    <w:name w:val="Named item list"/>
    <w:basedOn w:val="BodyText"/>
    <w:qFormat/>
    <w:rsid w:val="00424BC6"/>
    <w:pPr>
      <w:tabs>
        <w:tab w:val="left" w:pos="2835"/>
      </w:tabs>
      <w:ind w:left="2835" w:hanging="2835"/>
    </w:pPr>
  </w:style>
  <w:style w:type="paragraph" w:customStyle="1" w:styleId="BodyTextnopadding">
    <w:name w:val="Body Text no padding"/>
    <w:basedOn w:val="BodyText"/>
    <w:qFormat/>
    <w:rsid w:val="00424BC6"/>
    <w:pPr>
      <w:spacing w:before="0" w:after="0"/>
    </w:pPr>
  </w:style>
  <w:style w:type="paragraph" w:customStyle="1" w:styleId="BodyTextBold">
    <w:name w:val="Body Text Bold"/>
    <w:basedOn w:val="BodyText"/>
    <w:qFormat/>
    <w:rsid w:val="00424BC6"/>
    <w:rPr>
      <w:b/>
    </w:rPr>
  </w:style>
  <w:style w:type="character" w:styleId="Hyperlink">
    <w:name w:val="Hyperlink"/>
    <w:basedOn w:val="DefaultParagraphFont"/>
    <w:uiPriority w:val="99"/>
    <w:unhideWhenUsed/>
    <w:rsid w:val="004B3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4882</Characters>
  <Application>Microsoft Office Word</Application>
  <DocSecurity>0</DocSecurity>
  <Lines>232</Lines>
  <Paragraphs>141</Paragraphs>
  <ScaleCrop>false</ScaleCrop>
  <Company>Author-it Software Corporation Ltd.</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MSFSL3005 Paint and fire glass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2019-02-21T14:05:00Z</dcterms:created>
  <dcterms:modified xsi:type="dcterms:W3CDTF">2019-02-21T14:05:00Z</dcterms:modified>
</cp:coreProperties>
</file>