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1014" w:rsidP="008D1014">
      <w:pPr>
        <w:pStyle w:val="Title"/>
      </w:pPr>
      <w:r>
        <w:fldChar w:fldCharType="begin"/>
      </w:r>
      <w:r>
        <w:instrText xml:space="preserve"> TITLE   \* MERGEFORMAT </w:instrText>
      </w:r>
      <w:r>
        <w:fldChar w:fldCharType="separate"/>
      </w:r>
      <w:r>
        <w:t>MSFSL3004 Prepare and install architectural engineered leadlight and stained glass</w:t>
      </w:r>
      <w:r>
        <w:fldChar w:fldCharType="end"/>
      </w:r>
    </w:p>
    <w:p w:rsidR="008D1014" w:rsidP="008D1014">
      <w:pPr>
        <w:pStyle w:val="Version"/>
        <w:sectPr w:rsidSect="000100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0AF" w:rsidP="000100AF">
      <w:pPr>
        <w:pStyle w:val="SuperHeading"/>
      </w:pPr>
      <w:r w:rsidRPr="000100AF">
        <w:t>MSFSL3004 Prepare and install architectural engineered leadlight and stained glass</w:t>
      </w:r>
    </w:p>
    <w:p w:rsidR="00000000" w:rsidRPr="000100AF" w:rsidP="000100AF">
      <w:pPr>
        <w:pStyle w:val="Heading1"/>
      </w:pPr>
      <w:bookmarkStart w:id="1" w:name="O_621463"/>
      <w:bookmarkEnd w:id="1"/>
      <w:r w:rsidRPr="000100AF">
        <w:t>Modification History</w:t>
      </w:r>
    </w:p>
    <w:p w:rsidR="00000000" w:rsidRPr="000100AF" w:rsidP="000100AF">
      <w:pPr>
        <w:pStyle w:val="BodyText"/>
      </w:pPr>
      <w:r w:rsidRPr="000100AF">
        <w:t>Release 1 - New unit of competency</w:t>
      </w:r>
    </w:p>
    <w:p w:rsidR="00000000" w:rsidRPr="000100AF" w:rsidP="000100AF">
      <w:pPr>
        <w:pStyle w:val="AllowPageBreak"/>
      </w:pPr>
    </w:p>
    <w:p w:rsidR="00000000" w:rsidRPr="000100AF" w:rsidP="000100AF">
      <w:pPr>
        <w:pStyle w:val="Heading1"/>
      </w:pPr>
      <w:bookmarkStart w:id="2" w:name="O_621471"/>
      <w:bookmarkEnd w:id="2"/>
      <w:r w:rsidRPr="000100AF">
        <w:t>Application</w:t>
      </w:r>
    </w:p>
    <w:p w:rsidR="00000000" w:rsidRPr="000100AF" w:rsidP="000100AF">
      <w:pPr>
        <w:pStyle w:val="BodyText"/>
      </w:pPr>
      <w:r w:rsidRPr="000100AF">
        <w:t>This unit of competency covers preparing and installing leadlight and stained glass in structural and other architecturally engineered applications.</w:t>
      </w:r>
    </w:p>
    <w:p w:rsidR="00000000" w:rsidRPr="000100AF" w:rsidP="000100AF">
      <w:pPr>
        <w:pStyle w:val="BodyText"/>
      </w:pPr>
    </w:p>
    <w:p w:rsidR="00000000" w:rsidRPr="000100AF" w:rsidP="000100AF">
      <w:pPr>
        <w:pStyle w:val="BodyText"/>
      </w:pPr>
      <w:r w:rsidRPr="000100AF">
        <w:t>Licensing, legislative or certification requirements may apply to this unit and relevant state/territory a</w:t>
      </w:r>
      <w:r w:rsidRPr="000100AF">
        <w:t xml:space="preserve">nd local government agencies should be consulted to determine any necessary certification or licensing for undertaking glass and glazing work. Access to construction sites requires certification of general induction training specified by the </w:t>
      </w:r>
      <w:r w:rsidRPr="000100AF">
        <w:rPr>
          <w:rStyle w:val="Emphasis"/>
        </w:rPr>
        <w:t xml:space="preserve">National Code </w:t>
      </w:r>
      <w:r w:rsidRPr="000100AF">
        <w:rPr>
          <w:rStyle w:val="Emphasis"/>
        </w:rPr>
        <w:t>of Practice for Induction for Construction Work (ASCC 2007)</w:t>
      </w:r>
      <w:r w:rsidRPr="000100AF">
        <w:t>.</w:t>
      </w:r>
    </w:p>
    <w:p w:rsidR="00000000" w:rsidRPr="000100AF" w:rsidP="000100AF">
      <w:pPr>
        <w:pStyle w:val="AllowPageBreak"/>
      </w:pPr>
    </w:p>
    <w:p w:rsidR="00000000" w:rsidRPr="000100AF" w:rsidP="000100AF">
      <w:pPr>
        <w:pStyle w:val="Heading1"/>
      </w:pPr>
      <w:bookmarkStart w:id="3" w:name="O_621470"/>
      <w:bookmarkEnd w:id="3"/>
      <w:r w:rsidRPr="000100AF">
        <w:t>Pre-requisite Unit</w:t>
      </w:r>
    </w:p>
    <w:p w:rsidR="00000000" w:rsidRPr="000100AF" w:rsidP="000100AF">
      <w:pPr>
        <w:pStyle w:val="Heading1"/>
      </w:pPr>
      <w:bookmarkStart w:id="4" w:name="O_621469"/>
      <w:bookmarkEnd w:id="4"/>
      <w:r w:rsidRPr="000100AF">
        <w:t>Competency Field</w:t>
      </w:r>
    </w:p>
    <w:p w:rsidR="00000000" w:rsidRPr="000100AF" w:rsidP="000100AF">
      <w:pPr>
        <w:pStyle w:val="Heading1"/>
      </w:pPr>
      <w:bookmarkStart w:id="5" w:name="O_621468"/>
      <w:bookmarkEnd w:id="5"/>
      <w:r w:rsidRPr="000100AF">
        <w:t>Unit Sector</w:t>
      </w:r>
    </w:p>
    <w:p w:rsidR="00000000" w:rsidRPr="000100AF" w:rsidP="000100AF">
      <w:pPr>
        <w:pStyle w:val="BodyText"/>
      </w:pPr>
      <w:r w:rsidRPr="000100AF">
        <w:t>Leadlight and Stained Glass</w:t>
      </w:r>
    </w:p>
    <w:p w:rsidR="00000000" w:rsidRPr="000100AF" w:rsidP="000100AF">
      <w:pPr>
        <w:pStyle w:val="AllowPageBreak"/>
      </w:pPr>
    </w:p>
    <w:p w:rsidR="00000000" w:rsidRPr="000100AF" w:rsidP="000100AF">
      <w:pPr>
        <w:pStyle w:val="Heading1"/>
      </w:pPr>
      <w:bookmarkStart w:id="6" w:name="O_621467"/>
      <w:bookmarkEnd w:id="6"/>
      <w:r w:rsidRPr="000100AF">
        <w:t>Elements and Performance Criteria</w:t>
      </w:r>
    </w:p>
    <w:tbl>
      <w:tblPr>
        <w:tblW w:w="9286" w:type="dxa"/>
        <w:tblLayout w:type="fixed"/>
        <w:tblCellMar>
          <w:left w:w="62" w:type="dxa"/>
          <w:right w:w="62" w:type="dxa"/>
        </w:tblCellMar>
        <w:tblLook w:val="0000"/>
      </w:tblPr>
      <w:tblGrid>
        <w:gridCol w:w="630"/>
        <w:gridCol w:w="2129"/>
        <w:gridCol w:w="683"/>
        <w:gridCol w:w="5844"/>
      </w:tblGrid>
      <w:tr w:rsidTr="000100A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Elements describe t</w:t>
            </w:r>
            <w:r w:rsidRPr="000100AF">
              <w: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Performance criteria describe the performance needed to demonstrate achievement of the element.</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1</w:t>
            </w:r>
          </w:p>
        </w:tc>
        <w:tc>
          <w:tcPr>
            <w:tcW w:w="2129"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Identify work requirements</w:t>
            </w: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1.1</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Applicable work health and safety (WHS), legislative and organisational requirements relevant to leadlight and stained glass operations are verified and complied with</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1.2</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Work requirements in the form of type of leadlight and stained glass, frames and t</w:t>
            </w:r>
            <w:r w:rsidRPr="000100AF">
              <w:t xml:space="preserve">he method of fixing are identified, confirmed and clarified with appropriate personnel </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1.3</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The process for preparing and installing architecturally engineered leadlight and stained glass is identified</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2</w:t>
            </w:r>
          </w:p>
        </w:tc>
        <w:tc>
          <w:tcPr>
            <w:tcW w:w="2129"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Prepare for installation</w:t>
            </w: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2.1</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Work sequence is determined in a logical order to suit the job</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2.2</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Tools, equipment and materials are selected and checked prior to use to ensure they are appropriate for the work, serviceable and in a safe condition</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2.3</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Components of the leadlight a</w:t>
            </w:r>
            <w:r w:rsidRPr="000100AF">
              <w:t>nd stained glass are checked against specifications or job order</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2.4</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 xml:space="preserve">Leadlight and stained glass fixing method is selected </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2.5</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Frame or opening is prepared to receive leadlight and stained glass</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2.6</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Fixing and sealing materials are prepared by mixing or cutting to length, as appropriate</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3</w:t>
            </w:r>
          </w:p>
        </w:tc>
        <w:tc>
          <w:tcPr>
            <w:tcW w:w="2129" w:type="dxa"/>
            <w:vMerge w:val="restart"/>
            <w:tcBorders>
              <w:top w:val="nil"/>
              <w:left w:val="nil"/>
              <w:bottom w:val="nil"/>
              <w:right w:val="nil"/>
            </w:tcBorders>
            <w:tcMar>
              <w:top w:w="0" w:type="dxa"/>
              <w:left w:w="62" w:type="dxa"/>
              <w:bottom w:w="0" w:type="dxa"/>
              <w:right w:w="62" w:type="dxa"/>
            </w:tcMar>
          </w:tcPr>
          <w:p w:rsidR="00000000" w:rsidRPr="000100AF" w:rsidP="000100AF">
            <w:pPr>
              <w:pStyle w:val="BodyText"/>
            </w:pPr>
            <w:r w:rsidRPr="000100AF">
              <w:t>Identify site conditions and constraints</w:t>
            </w:r>
          </w:p>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3.1</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Site safety hazards are recognised and corrective action taken to reduce risk of injury to self and others</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3.2</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On-site difficulties are identified and addressed in accordance with regulations and enterprise agreements</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3.3</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Special characteristics of the leadlight and stained glass aperture are identified in relation to the effect of the fitting process on the fin</w:t>
            </w:r>
            <w:r w:rsidRPr="000100AF">
              <w:t>ished job</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3.4</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Covering material is applied, where necessary, to protect existing fixtures and fittings</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4</w:t>
            </w:r>
          </w:p>
        </w:tc>
        <w:tc>
          <w:tcPr>
            <w:tcW w:w="2129"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Fit leadlight and stained glass</w:t>
            </w: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4.1</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 xml:space="preserve">Leadlight and stained glass is fixed to the frame or opening using the selected method </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4.2</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 xml:space="preserve">Solvents and sealants are applied </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4.3</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 xml:space="preserve">Leadlight and stained glass and/or frame are cleaned after fixing </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5</w:t>
            </w:r>
          </w:p>
        </w:tc>
        <w:tc>
          <w:tcPr>
            <w:tcW w:w="2129"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Finalise the installation</w:t>
            </w: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5.1</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 xml:space="preserve">Completed installation is checked to ensure compliance </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5.2</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Waste and scrap material are removed for disposal o</w:t>
            </w:r>
            <w:r w:rsidRPr="000100AF">
              <w:t>r recycling, as required</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5.3</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Work area is cleaned and rubbish disposed of, as appropriate</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5.4</w:t>
            </w:r>
          </w:p>
        </w:tc>
        <w:tc>
          <w:tcPr>
            <w:tcW w:w="5844"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 xml:space="preserve">Tools, equipment and unused materials are cleaned, </w:t>
            </w:r>
            <w:r w:rsidRPr="000100AF">
              <w:t>removed and stored appropriately</w:t>
            </w:r>
          </w:p>
        </w:tc>
      </w:tr>
      <w:tr w:rsidTr="000100AF">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5.5</w:t>
            </w:r>
          </w:p>
        </w:tc>
        <w:tc>
          <w:tcPr>
            <w:tcW w:w="5844" w:type="dxa"/>
            <w:tcBorders>
              <w:top w:val="nil"/>
              <w:left w:val="nil"/>
              <w:bottom w:val="nil"/>
              <w:right w:val="nil"/>
            </w:tcBorders>
            <w:tcMar>
              <w:top w:w="0" w:type="dxa"/>
              <w:left w:w="62" w:type="dxa"/>
              <w:bottom w:w="0" w:type="dxa"/>
              <w:right w:w="62" w:type="dxa"/>
            </w:tcMar>
          </w:tcPr>
          <w:p w:rsidR="00000000" w:rsidRPr="000100AF" w:rsidP="000100AF">
            <w:pPr>
              <w:pStyle w:val="BodyText"/>
            </w:pPr>
            <w:r w:rsidRPr="000100AF">
              <w:t>Workplace records are maintained according to workplace procedures</w:t>
            </w:r>
          </w:p>
        </w:tc>
      </w:tr>
    </w:tbl>
    <w:p w:rsidR="00000000" w:rsidRPr="000100AF" w:rsidP="000100AF">
      <w:pPr>
        <w:pStyle w:val="BodyText"/>
      </w:pPr>
    </w:p>
    <w:p w:rsidR="00000000" w:rsidRPr="000100AF" w:rsidP="000100AF">
      <w:pPr>
        <w:pStyle w:val="AllowPageBreak"/>
      </w:pPr>
    </w:p>
    <w:p w:rsidR="00000000" w:rsidRPr="000100AF" w:rsidP="000100AF">
      <w:pPr>
        <w:pStyle w:val="Heading1"/>
      </w:pPr>
      <w:bookmarkStart w:id="7" w:name="O_621466"/>
      <w:bookmarkEnd w:id="7"/>
      <w:r w:rsidRPr="000100AF">
        <w:t>Foundation Skills</w:t>
      </w:r>
    </w:p>
    <w:p w:rsidR="00000000" w:rsidRPr="000100AF" w:rsidP="000100AF">
      <w:pPr>
        <w:pStyle w:val="BodyText"/>
      </w:pPr>
      <w:r w:rsidRPr="000100AF">
        <w:t>Foundation skills essential to performance are explicit in the performance criteria of this unit of competency. Detail on appropriate performance levels</w:t>
      </w:r>
      <w:r w:rsidRPr="000100AF">
        <w:t xml:space="preserve"> for each furnishing unit of competency in reading, writing, oral communication and numeracy utilising the Australian Core Skills Framework (ACSF) are provided in the Furnishing Training Package Implementation Guide.</w:t>
      </w:r>
    </w:p>
    <w:p w:rsidR="00000000" w:rsidRPr="000100AF" w:rsidP="000100AF">
      <w:pPr>
        <w:pStyle w:val="AllowPageBreak"/>
      </w:pPr>
    </w:p>
    <w:p w:rsidR="00000000" w:rsidRPr="000100AF" w:rsidP="000100AF">
      <w:pPr>
        <w:pStyle w:val="Heading1"/>
      </w:pPr>
      <w:bookmarkStart w:id="8" w:name="O_621465"/>
      <w:bookmarkEnd w:id="8"/>
      <w:r w:rsidRPr="000100AF">
        <w:t>Range of Conditions</w:t>
      </w:r>
    </w:p>
    <w:tbl>
      <w:tblPr>
        <w:tblW w:w="0" w:type="auto"/>
        <w:tblLayout w:type="fixed"/>
        <w:tblCellMar>
          <w:left w:w="62" w:type="dxa"/>
          <w:right w:w="62" w:type="dxa"/>
        </w:tblCellMar>
        <w:tblLook w:val="0000"/>
      </w:tblPr>
      <w:tblGrid>
        <w:gridCol w:w="2760"/>
        <w:gridCol w:w="6312"/>
      </w:tblGrid>
      <w:tr w:rsidTr="000100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t>Specifies different work environments and conditions that may affect performance. Essential operating conditions that may be present (depending on the work situation, needs of the candidate, accessibility of the item, and local industry and regional contex</w:t>
            </w:r>
            <w:r w:rsidRPr="000100AF">
              <w:t>ts) are included. Range is restricted to essential operating conditions and any other variables essential to the work environment.</w:t>
            </w:r>
          </w:p>
        </w:tc>
      </w:tr>
      <w:tr w:rsidTr="000100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100AF" w:rsidP="000100AF">
            <w:pPr>
              <w:pStyle w:val="ListBullet"/>
            </w:pPr>
            <w:r w:rsidRPr="000100AF">
              <w:t>WHS requirements, including legislation, building codes, material safety management systems, hazard</w:t>
            </w:r>
            <w:r w:rsidRPr="000100AF">
              <w:t xml:space="preserve">ous and dangerous goods codes, and local safe operating procedures or equivalent </w:t>
            </w:r>
          </w:p>
          <w:p w:rsidR="00000000" w:rsidRPr="000100AF" w:rsidP="000100AF">
            <w:pPr>
              <w:pStyle w:val="ListBullet"/>
            </w:pPr>
            <w:r w:rsidRPr="000100AF">
              <w:t xml:space="preserve">work is carried out in accordance with legislative obligations, environmental legislation, relevant health regulations, manual handling procedures and organisation insurance </w:t>
            </w:r>
            <w:r w:rsidRPr="000100AF">
              <w:t>requirements</w:t>
            </w:r>
          </w:p>
          <w:p w:rsidR="00000000" w:rsidP="000100AF">
            <w:pPr>
              <w:pStyle w:val="ListBullet"/>
              <w:rPr>
                <w:lang w:val="en-NZ"/>
              </w:rPr>
            </w:pPr>
            <w:r w:rsidRPr="000100AF">
              <w:t xml:space="preserve">work requires individuals to demonstrate some discretion, judgement and problem solving </w:t>
            </w:r>
          </w:p>
        </w:tc>
      </w:tr>
      <w:tr w:rsidTr="000100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0100AF" w:rsidP="000100AF">
            <w:pPr>
              <w:pStyle w:val="ListBullet"/>
            </w:pPr>
            <w:r w:rsidRPr="000100AF">
              <w:t xml:space="preserve">architects </w:t>
            </w:r>
          </w:p>
          <w:p w:rsidR="00000000" w:rsidRPr="000100AF" w:rsidP="000100AF">
            <w:pPr>
              <w:pStyle w:val="ListBullet"/>
            </w:pPr>
            <w:r w:rsidRPr="000100AF">
              <w:t xml:space="preserve">engineers </w:t>
            </w:r>
          </w:p>
          <w:p w:rsidR="00000000" w:rsidRPr="000100AF" w:rsidP="000100AF">
            <w:pPr>
              <w:pStyle w:val="ListBullet"/>
            </w:pPr>
            <w:r w:rsidRPr="000100AF">
              <w:t xml:space="preserve">supervisors </w:t>
            </w:r>
          </w:p>
          <w:p w:rsidR="00000000" w:rsidRPr="000100AF" w:rsidP="000100AF">
            <w:pPr>
              <w:pStyle w:val="ListBullet"/>
            </w:pPr>
            <w:r w:rsidRPr="000100AF">
              <w:t xml:space="preserve">suppliers </w:t>
            </w:r>
          </w:p>
          <w:p w:rsidR="00000000" w:rsidRPr="000100AF" w:rsidP="000100AF">
            <w:pPr>
              <w:pStyle w:val="ListBullet"/>
            </w:pPr>
            <w:r w:rsidRPr="000100AF">
              <w:t xml:space="preserve">clients </w:t>
            </w:r>
          </w:p>
          <w:p w:rsidR="00000000" w:rsidRPr="000100AF" w:rsidP="000100AF">
            <w:pPr>
              <w:pStyle w:val="ListBullet"/>
            </w:pPr>
            <w:r w:rsidRPr="000100AF">
              <w:t xml:space="preserve">colleagues </w:t>
            </w:r>
          </w:p>
          <w:p w:rsidR="00000000" w:rsidP="000100AF">
            <w:pPr>
              <w:pStyle w:val="ListBullet"/>
              <w:rPr>
                <w:lang w:val="en-NZ"/>
              </w:rPr>
            </w:pPr>
            <w:r w:rsidRPr="000100AF">
              <w:t>managers</w:t>
            </w:r>
          </w:p>
        </w:tc>
      </w:tr>
      <w:tr w:rsidTr="000100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rPr>
                <w:rStyle w:val="SpecialBold"/>
              </w:rPr>
              <w:t>Architecturally engineered leadlight and stained glass includes:</w:t>
            </w:r>
          </w:p>
        </w:tc>
        <w:tc>
          <w:tcPr>
            <w:tcW w:w="6312" w:type="dxa"/>
            <w:tcBorders>
              <w:top w:val="nil"/>
              <w:left w:val="nil"/>
              <w:bottom w:val="nil"/>
              <w:right w:val="nil"/>
            </w:tcBorders>
            <w:tcMar>
              <w:top w:w="0" w:type="dxa"/>
              <w:left w:w="62" w:type="dxa"/>
              <w:bottom w:w="0" w:type="dxa"/>
              <w:right w:w="62" w:type="dxa"/>
            </w:tcMar>
          </w:tcPr>
          <w:p w:rsidR="00000000" w:rsidRPr="000100AF" w:rsidP="000100AF">
            <w:pPr>
              <w:pStyle w:val="ListBullet"/>
            </w:pPr>
            <w:r w:rsidRPr="000100AF">
              <w:t xml:space="preserve">curtain walls </w:t>
            </w:r>
          </w:p>
          <w:p w:rsidR="00000000" w:rsidRPr="000100AF" w:rsidP="000100AF">
            <w:pPr>
              <w:pStyle w:val="ListBullet"/>
            </w:pPr>
            <w:r w:rsidRPr="000100AF">
              <w:t xml:space="preserve">infill and structural balustrade </w:t>
            </w:r>
          </w:p>
          <w:p w:rsidR="00000000" w:rsidRPr="000100AF" w:rsidP="000100AF">
            <w:pPr>
              <w:pStyle w:val="ListBullet"/>
            </w:pPr>
            <w:r w:rsidRPr="000100AF">
              <w:t>suspended and overhead glass</w:t>
            </w:r>
          </w:p>
          <w:p w:rsidR="00000000" w:rsidRPr="000100AF" w:rsidP="000100AF">
            <w:pPr>
              <w:pStyle w:val="ListBullet"/>
            </w:pPr>
            <w:r w:rsidRPr="000100AF">
              <w:t xml:space="preserve">toughened glass assemblies </w:t>
            </w:r>
          </w:p>
          <w:p w:rsidR="00000000" w:rsidRPr="000100AF" w:rsidP="000100AF">
            <w:pPr>
              <w:pStyle w:val="ListBullet"/>
            </w:pPr>
            <w:r w:rsidRPr="000100AF">
              <w:t>aluminium systems, including planar assemblies</w:t>
            </w:r>
          </w:p>
          <w:p w:rsidR="00000000" w:rsidRPr="000100AF" w:rsidP="000100AF">
            <w:pPr>
              <w:pStyle w:val="ListBullet"/>
            </w:pPr>
            <w:r w:rsidRPr="000100AF">
              <w:t xml:space="preserve">curtain wall systems </w:t>
            </w:r>
          </w:p>
          <w:p w:rsidR="00000000" w:rsidRPr="000100AF" w:rsidP="000100AF">
            <w:pPr>
              <w:pStyle w:val="ListBullet"/>
            </w:pPr>
            <w:r w:rsidRPr="000100AF">
              <w:t xml:space="preserve">spider assemblies </w:t>
            </w:r>
          </w:p>
          <w:p w:rsidR="00000000" w:rsidRPr="000100AF" w:rsidP="000100AF">
            <w:pPr>
              <w:pStyle w:val="ListBullet"/>
            </w:pPr>
            <w:r w:rsidRPr="000100AF">
              <w:t xml:space="preserve">panel wall systems (hung and stacked) </w:t>
            </w:r>
          </w:p>
          <w:p w:rsidR="00000000" w:rsidP="000100AF">
            <w:pPr>
              <w:pStyle w:val="ListBullet"/>
              <w:rPr>
                <w:lang w:val="en-NZ"/>
              </w:rPr>
            </w:pPr>
            <w:r w:rsidRPr="000100AF">
              <w:t>watertight glazing techniques, including the use of silicone</w:t>
            </w:r>
          </w:p>
        </w:tc>
      </w:tr>
      <w:tr w:rsidTr="000100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100AF" w:rsidP="000100AF">
            <w:pPr>
              <w:pStyle w:val="ListBullet"/>
            </w:pPr>
            <w:r w:rsidRPr="000100AF">
              <w:t xml:space="preserve">assembly benches </w:t>
            </w:r>
          </w:p>
          <w:p w:rsidR="00000000" w:rsidRPr="000100AF" w:rsidP="000100AF">
            <w:pPr>
              <w:pStyle w:val="ListBullet"/>
            </w:pPr>
            <w:r w:rsidRPr="000100AF">
              <w:t xml:space="preserve">drop and up-cut saws </w:t>
            </w:r>
          </w:p>
          <w:p w:rsidR="00000000" w:rsidRPr="000100AF" w:rsidP="000100AF">
            <w:pPr>
              <w:pStyle w:val="ListBullet"/>
            </w:pPr>
            <w:r w:rsidRPr="000100AF">
              <w:t xml:space="preserve">pneumatic, hydraulic and manual presses </w:t>
            </w:r>
          </w:p>
          <w:p w:rsidR="00000000" w:rsidRPr="000100AF" w:rsidP="000100AF">
            <w:pPr>
              <w:pStyle w:val="ListBullet"/>
            </w:pPr>
            <w:r w:rsidRPr="000100AF">
              <w:t xml:space="preserve">lifting equipment </w:t>
            </w:r>
          </w:p>
          <w:p w:rsidR="00000000" w:rsidRPr="000100AF" w:rsidP="000100AF">
            <w:pPr>
              <w:pStyle w:val="ListBullet"/>
            </w:pPr>
            <w:r w:rsidRPr="000100AF">
              <w:t xml:space="preserve">frame </w:t>
            </w:r>
            <w:r w:rsidRPr="000100AF">
              <w:t xml:space="preserve">tooling </w:t>
            </w:r>
          </w:p>
          <w:p w:rsidR="00000000" w:rsidRPr="000100AF" w:rsidP="000100AF">
            <w:pPr>
              <w:pStyle w:val="ListBullet"/>
            </w:pPr>
            <w:r w:rsidRPr="000100AF">
              <w:t xml:space="preserve">copy routers </w:t>
            </w:r>
          </w:p>
          <w:p w:rsidR="00000000" w:rsidRPr="000100AF" w:rsidP="000100AF">
            <w:pPr>
              <w:pStyle w:val="ListBullet"/>
            </w:pPr>
            <w:r w:rsidRPr="000100AF">
              <w:t xml:space="preserve">end millers </w:t>
            </w:r>
          </w:p>
          <w:p w:rsidR="00000000" w:rsidRPr="000100AF" w:rsidP="000100AF">
            <w:pPr>
              <w:pStyle w:val="ListBullet"/>
            </w:pPr>
            <w:r w:rsidRPr="000100AF">
              <w:t xml:space="preserve">crimpers </w:t>
            </w:r>
          </w:p>
          <w:p w:rsidR="00000000" w:rsidRPr="000100AF" w:rsidP="000100AF">
            <w:pPr>
              <w:pStyle w:val="ListBullet"/>
            </w:pPr>
            <w:r w:rsidRPr="000100AF">
              <w:t xml:space="preserve">electric and pneumatic powered drills and screwdrivers </w:t>
            </w:r>
          </w:p>
          <w:p w:rsidR="00000000" w:rsidRPr="000100AF" w:rsidP="000100AF">
            <w:pPr>
              <w:pStyle w:val="ListBullet"/>
            </w:pPr>
            <w:r w:rsidRPr="000100AF">
              <w:t xml:space="preserve">pop rivet guns </w:t>
            </w:r>
          </w:p>
          <w:p w:rsidR="00000000" w:rsidRPr="000100AF" w:rsidP="000100AF">
            <w:pPr>
              <w:pStyle w:val="ListBullet"/>
            </w:pPr>
            <w:r w:rsidRPr="000100AF">
              <w:t xml:space="preserve">glue guns </w:t>
            </w:r>
          </w:p>
          <w:p w:rsidR="00000000" w:rsidP="000100AF">
            <w:pPr>
              <w:pStyle w:val="ListBullet"/>
              <w:rPr>
                <w:lang w:val="en-NZ"/>
              </w:rPr>
            </w:pPr>
            <w:r w:rsidRPr="000100AF">
              <w:t>general hand tools</w:t>
            </w:r>
          </w:p>
        </w:tc>
      </w:tr>
      <w:tr w:rsidTr="000100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100AF" w:rsidP="000100AF">
            <w:pPr>
              <w:pStyle w:val="ListBullet"/>
            </w:pPr>
            <w:r w:rsidRPr="000100AF">
              <w:t xml:space="preserve">leadlight or stained glass panels </w:t>
            </w:r>
          </w:p>
          <w:p w:rsidR="00000000" w:rsidRPr="000100AF" w:rsidP="000100AF">
            <w:pPr>
              <w:pStyle w:val="ListBullet"/>
            </w:pPr>
            <w:r w:rsidRPr="000100AF">
              <w:t xml:space="preserve">annealed glass </w:t>
            </w:r>
          </w:p>
          <w:p w:rsidR="00000000" w:rsidRPr="000100AF" w:rsidP="000100AF">
            <w:pPr>
              <w:pStyle w:val="ListBullet"/>
            </w:pPr>
            <w:r w:rsidRPr="000100AF">
              <w:t xml:space="preserve">safety glass </w:t>
            </w:r>
          </w:p>
          <w:p w:rsidR="00000000" w:rsidRPr="000100AF" w:rsidP="000100AF">
            <w:pPr>
              <w:pStyle w:val="ListBullet"/>
            </w:pPr>
            <w:r w:rsidRPr="000100AF">
              <w:t xml:space="preserve">patterned glass </w:t>
            </w:r>
          </w:p>
          <w:p w:rsidR="00000000" w:rsidRPr="000100AF" w:rsidP="000100AF">
            <w:pPr>
              <w:pStyle w:val="ListBullet"/>
            </w:pPr>
            <w:r w:rsidRPr="000100AF">
              <w:t xml:space="preserve">tinted </w:t>
            </w:r>
          </w:p>
          <w:p w:rsidR="00000000" w:rsidRPr="000100AF" w:rsidP="000100AF">
            <w:pPr>
              <w:pStyle w:val="ListBullet"/>
            </w:pPr>
            <w:r w:rsidRPr="000100AF">
              <w:t xml:space="preserve">heat-reflective </w:t>
            </w:r>
          </w:p>
          <w:p w:rsidR="00000000" w:rsidRPr="000100AF" w:rsidP="000100AF">
            <w:pPr>
              <w:pStyle w:val="ListBullet"/>
            </w:pPr>
            <w:r w:rsidRPr="000100AF">
              <w:t xml:space="preserve">insulated glass units </w:t>
            </w:r>
          </w:p>
          <w:p w:rsidR="00000000" w:rsidRPr="000100AF" w:rsidP="000100AF">
            <w:pPr>
              <w:pStyle w:val="ListBullet"/>
            </w:pPr>
            <w:r w:rsidRPr="000100AF">
              <w:t xml:space="preserve">steel </w:t>
            </w:r>
          </w:p>
          <w:p w:rsidR="00000000" w:rsidRPr="000100AF" w:rsidP="000100AF">
            <w:pPr>
              <w:pStyle w:val="ListBullet"/>
            </w:pPr>
            <w:r w:rsidRPr="000100AF">
              <w:t>fasteners</w:t>
            </w:r>
          </w:p>
          <w:p w:rsidR="00000000" w:rsidRPr="000100AF" w:rsidP="000100AF">
            <w:pPr>
              <w:pStyle w:val="ListBullet"/>
            </w:pPr>
            <w:r w:rsidRPr="000100AF">
              <w:t xml:space="preserve">plastics </w:t>
            </w:r>
          </w:p>
          <w:p w:rsidR="00000000" w:rsidRPr="000100AF" w:rsidP="000100AF">
            <w:pPr>
              <w:pStyle w:val="ListBullet"/>
            </w:pPr>
            <w:r w:rsidRPr="000100AF">
              <w:t xml:space="preserve">sealants </w:t>
            </w:r>
          </w:p>
          <w:p w:rsidR="00000000" w:rsidRPr="000100AF" w:rsidP="000100AF">
            <w:pPr>
              <w:pStyle w:val="ListBullet"/>
            </w:pPr>
            <w:r w:rsidRPr="000100AF">
              <w:t xml:space="preserve">tapes </w:t>
            </w:r>
          </w:p>
          <w:p w:rsidR="00000000" w:rsidRPr="000100AF" w:rsidP="000100AF">
            <w:pPr>
              <w:pStyle w:val="ListBullet"/>
            </w:pPr>
            <w:r w:rsidRPr="000100AF">
              <w:t xml:space="preserve">vinyls </w:t>
            </w:r>
          </w:p>
          <w:p w:rsidR="00000000" w:rsidRPr="000100AF" w:rsidP="000100AF">
            <w:pPr>
              <w:pStyle w:val="ListBullet"/>
            </w:pPr>
            <w:r w:rsidRPr="000100AF">
              <w:t xml:space="preserve">gaskets </w:t>
            </w:r>
          </w:p>
          <w:p w:rsidR="00000000" w:rsidRPr="000100AF" w:rsidP="000100AF">
            <w:pPr>
              <w:pStyle w:val="ListBullet"/>
            </w:pPr>
            <w:r w:rsidRPr="000100AF">
              <w:t xml:space="preserve">timber reveals </w:t>
            </w:r>
          </w:p>
          <w:p w:rsidR="00000000" w:rsidP="000100AF">
            <w:pPr>
              <w:pStyle w:val="ListBullet"/>
              <w:rPr>
                <w:lang w:val="en-NZ"/>
              </w:rPr>
            </w:pPr>
            <w:r w:rsidRPr="000100AF">
              <w:t>flashings</w:t>
            </w:r>
          </w:p>
        </w:tc>
      </w:tr>
      <w:tr w:rsidTr="000100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rPr>
                <w:rStyle w:val="SpecialBold"/>
              </w:rPr>
              <w:t>Fixing method includes:</w:t>
            </w:r>
          </w:p>
        </w:tc>
        <w:tc>
          <w:tcPr>
            <w:tcW w:w="6312" w:type="dxa"/>
            <w:tcBorders>
              <w:top w:val="nil"/>
              <w:left w:val="nil"/>
              <w:bottom w:val="nil"/>
              <w:right w:val="nil"/>
            </w:tcBorders>
            <w:tcMar>
              <w:top w:w="0" w:type="dxa"/>
              <w:left w:w="62" w:type="dxa"/>
              <w:bottom w:w="0" w:type="dxa"/>
              <w:right w:w="62" w:type="dxa"/>
            </w:tcMar>
          </w:tcPr>
          <w:p w:rsidR="00000000" w:rsidP="000100AF">
            <w:pPr>
              <w:pStyle w:val="ListBullet"/>
              <w:rPr>
                <w:lang w:val="en-NZ"/>
              </w:rPr>
            </w:pPr>
            <w:r w:rsidRPr="000100AF">
              <w:t xml:space="preserve">consideration of the technical specification, type of glass and frame, security </w:t>
            </w:r>
            <w:r w:rsidRPr="000100AF">
              <w:t>requirements, sealing methods and relevant Australian Standards</w:t>
            </w:r>
          </w:p>
        </w:tc>
      </w:tr>
      <w:tr w:rsidTr="000100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rPr>
                <w:rStyle w:val="SpecialBold"/>
              </w:rPr>
              <w:t>Preparation include:</w:t>
            </w:r>
          </w:p>
        </w:tc>
        <w:tc>
          <w:tcPr>
            <w:tcW w:w="6312" w:type="dxa"/>
            <w:tcBorders>
              <w:top w:val="nil"/>
              <w:left w:val="nil"/>
              <w:bottom w:val="nil"/>
              <w:right w:val="nil"/>
            </w:tcBorders>
            <w:tcMar>
              <w:top w:w="0" w:type="dxa"/>
              <w:left w:w="62" w:type="dxa"/>
              <w:bottom w:w="0" w:type="dxa"/>
              <w:right w:w="62" w:type="dxa"/>
            </w:tcMar>
          </w:tcPr>
          <w:p w:rsidR="00000000" w:rsidRPr="000100AF" w:rsidP="000100AF">
            <w:pPr>
              <w:pStyle w:val="ListBullet"/>
            </w:pPr>
            <w:r w:rsidRPr="000100AF">
              <w:t xml:space="preserve">cleaning </w:t>
            </w:r>
          </w:p>
          <w:p w:rsidR="00000000" w:rsidRPr="000100AF" w:rsidP="000100AF">
            <w:pPr>
              <w:pStyle w:val="ListBullet"/>
            </w:pPr>
            <w:r w:rsidRPr="000100AF">
              <w:t xml:space="preserve">surface preparation, if required </w:t>
            </w:r>
          </w:p>
          <w:p w:rsidR="00000000" w:rsidP="000100AF">
            <w:pPr>
              <w:pStyle w:val="ListBullet"/>
              <w:rPr>
                <w:lang w:val="en-NZ"/>
              </w:rPr>
            </w:pPr>
            <w:r w:rsidRPr="000100AF">
              <w:t>checking size against specification</w:t>
            </w:r>
          </w:p>
        </w:tc>
      </w:tr>
      <w:tr w:rsidTr="000100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rPr>
                <w:rStyle w:val="SpecialBold"/>
              </w:rPr>
              <w:t>Records include:</w:t>
            </w:r>
          </w:p>
        </w:tc>
        <w:tc>
          <w:tcPr>
            <w:tcW w:w="6312" w:type="dxa"/>
            <w:tcBorders>
              <w:top w:val="nil"/>
              <w:left w:val="nil"/>
              <w:bottom w:val="nil"/>
              <w:right w:val="nil"/>
            </w:tcBorders>
            <w:tcMar>
              <w:top w:w="0" w:type="dxa"/>
              <w:left w:w="62" w:type="dxa"/>
              <w:bottom w:w="0" w:type="dxa"/>
              <w:right w:w="62" w:type="dxa"/>
            </w:tcMar>
          </w:tcPr>
          <w:p w:rsidR="00000000" w:rsidRPr="000100AF" w:rsidP="000100AF">
            <w:pPr>
              <w:pStyle w:val="ListBullet"/>
            </w:pPr>
            <w:r w:rsidRPr="000100AF">
              <w:t xml:space="preserve">the product type </w:t>
            </w:r>
          </w:p>
          <w:p w:rsidR="00000000" w:rsidRPr="000100AF" w:rsidP="000100AF">
            <w:pPr>
              <w:pStyle w:val="ListBullet"/>
            </w:pPr>
            <w:r w:rsidRPr="000100AF">
              <w:t xml:space="preserve">size </w:t>
            </w:r>
          </w:p>
          <w:p w:rsidR="00000000" w:rsidRPr="000100AF" w:rsidP="000100AF">
            <w:pPr>
              <w:pStyle w:val="ListBullet"/>
            </w:pPr>
            <w:r w:rsidRPr="000100AF">
              <w:t>inspection</w:t>
            </w:r>
          </w:p>
          <w:p w:rsidR="00000000" w:rsidRPr="000100AF" w:rsidP="000100AF">
            <w:pPr>
              <w:pStyle w:val="ListBullet"/>
            </w:pPr>
            <w:r w:rsidRPr="000100AF">
              <w:t xml:space="preserve">inspection outcomes </w:t>
            </w:r>
          </w:p>
          <w:p w:rsidR="00000000" w:rsidRPr="000100AF" w:rsidP="000100AF">
            <w:pPr>
              <w:pStyle w:val="ListBullet"/>
            </w:pPr>
            <w:r w:rsidRPr="000100AF">
              <w:t xml:space="preserve">quality outcomes </w:t>
            </w:r>
          </w:p>
          <w:p w:rsidR="00000000" w:rsidP="000100AF">
            <w:pPr>
              <w:pStyle w:val="ListBullet"/>
              <w:rPr>
                <w:lang w:val="en-NZ"/>
              </w:rPr>
            </w:pPr>
            <w:r w:rsidRPr="000100AF">
              <w:t>storage locations</w:t>
            </w:r>
          </w:p>
        </w:tc>
      </w:tr>
      <w:tr w:rsidTr="000100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100AF" w:rsidP="000100AF">
            <w:pPr>
              <w:pStyle w:val="BodyText"/>
            </w:pPr>
            <w:r w:rsidRPr="000100AF">
              <w:rPr>
                <w:rStyle w:val="SpecialBold"/>
              </w:rPr>
              <w:t>Personal protective equipment includes:</w:t>
            </w:r>
          </w:p>
          <w:p w:rsidR="00000000" w:rsidP="000100A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100AF" w:rsidP="000100AF">
            <w:pPr>
              <w:pStyle w:val="ListBullet"/>
            </w:pPr>
            <w:r w:rsidRPr="000100AF">
              <w:t>that prescribed under legislation, regulation and enterprise policies and practices:</w:t>
            </w:r>
          </w:p>
          <w:p w:rsidR="00000000" w:rsidRPr="000100AF" w:rsidP="000100AF">
            <w:pPr>
              <w:pStyle w:val="ListBullet2"/>
            </w:pPr>
            <w:r w:rsidRPr="000100AF">
              <w:t>gauntlets</w:t>
            </w:r>
          </w:p>
          <w:p w:rsidR="00000000" w:rsidRPr="000100AF" w:rsidP="000100AF">
            <w:pPr>
              <w:pStyle w:val="ListBullet2"/>
            </w:pPr>
            <w:r w:rsidRPr="000100AF">
              <w:t>gloves</w:t>
            </w:r>
          </w:p>
          <w:p w:rsidR="00000000" w:rsidRPr="000100AF" w:rsidP="000100AF">
            <w:pPr>
              <w:pStyle w:val="ListBullet2"/>
            </w:pPr>
            <w:r w:rsidRPr="000100AF">
              <w:t>safety glasses</w:t>
            </w:r>
          </w:p>
          <w:p w:rsidR="00000000" w:rsidRPr="000100AF" w:rsidP="000100AF">
            <w:pPr>
              <w:pStyle w:val="ListBullet2"/>
            </w:pPr>
            <w:r w:rsidRPr="000100AF">
              <w:t>hard hats</w:t>
            </w:r>
          </w:p>
          <w:p w:rsidR="00000000" w:rsidRPr="000100AF" w:rsidP="000100AF">
            <w:pPr>
              <w:pStyle w:val="ListBullet2"/>
            </w:pPr>
            <w:r w:rsidRPr="000100AF">
              <w:t>safety footwear</w:t>
            </w:r>
          </w:p>
          <w:p w:rsidR="00000000" w:rsidP="000100AF">
            <w:pPr>
              <w:pStyle w:val="ListBullet2"/>
              <w:rPr>
                <w:lang w:val="en-NZ"/>
              </w:rPr>
            </w:pPr>
            <w:r w:rsidRPr="000100AF">
              <w:t>aprons and overalls</w:t>
            </w:r>
          </w:p>
        </w:tc>
      </w:tr>
      <w:tr w:rsidTr="000100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100AF">
            <w:pPr>
              <w:pStyle w:val="BodyText"/>
              <w:rPr>
                <w:lang w:val="en-NZ"/>
              </w:rPr>
            </w:pPr>
            <w:r w:rsidRPr="000100A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100AF" w:rsidP="000100AF">
            <w:pPr>
              <w:pStyle w:val="ListBullet"/>
            </w:pPr>
            <w:r w:rsidRPr="000100AF">
              <w:t xml:space="preserve">workplace procedures relating to the use of tools and equipment and personal protective equipment </w:t>
            </w:r>
          </w:p>
          <w:p w:rsidR="00000000" w:rsidRPr="000100AF" w:rsidP="000100AF">
            <w:pPr>
              <w:pStyle w:val="ListBullet"/>
            </w:pPr>
            <w:r w:rsidRPr="000100AF">
              <w:t xml:space="preserve">work instructions, including job sheets, cutting lists, plans, drawings and designs </w:t>
            </w:r>
          </w:p>
          <w:p w:rsidR="00000000" w:rsidRPr="000100AF" w:rsidP="000100AF">
            <w:pPr>
              <w:pStyle w:val="ListBullet"/>
            </w:pPr>
            <w:r w:rsidRPr="000100AF">
              <w:t xml:space="preserve">workplace procedures relating to reporting and communication </w:t>
            </w:r>
          </w:p>
          <w:p w:rsidR="00000000" w:rsidRPr="000100AF" w:rsidP="000100AF">
            <w:pPr>
              <w:pStyle w:val="ListBullet"/>
            </w:pPr>
            <w:r w:rsidRPr="000100AF">
              <w:t>manufacturer specifications and operational procedures</w:t>
            </w:r>
          </w:p>
        </w:tc>
      </w:tr>
    </w:tbl>
    <w:p w:rsidR="00000000" w:rsidRPr="000100AF" w:rsidP="000100AF">
      <w:pPr>
        <w:pStyle w:val="BodyText"/>
      </w:pPr>
    </w:p>
    <w:p w:rsidR="00000000" w:rsidRPr="000100AF" w:rsidP="000100AF">
      <w:pPr>
        <w:pStyle w:val="AllowPageBreak"/>
      </w:pPr>
    </w:p>
    <w:p w:rsidR="00000000" w:rsidRPr="000100AF" w:rsidP="000100AF">
      <w:pPr>
        <w:pStyle w:val="Heading1"/>
      </w:pPr>
      <w:bookmarkStart w:id="9" w:name="O_621464"/>
      <w:bookmarkEnd w:id="9"/>
      <w:r w:rsidRPr="000100AF">
        <w:t>Unit Mapping Information</w:t>
      </w:r>
    </w:p>
    <w:p w:rsidR="00000000" w:rsidRPr="000100AF" w:rsidP="000100AF">
      <w:pPr>
        <w:pStyle w:val="BodyText"/>
      </w:pPr>
      <w:r w:rsidRPr="000100AF">
        <w:t>Supersedes and is equivalent to LMFSL3006B Prepare and install architectural engineered leadlig</w:t>
      </w:r>
      <w:r w:rsidRPr="000100AF">
        <w:t>ht and stained glass.</w:t>
      </w:r>
    </w:p>
    <w:p w:rsidR="00000000" w:rsidRPr="000100AF" w:rsidP="000100AF">
      <w:pPr>
        <w:pStyle w:val="AllowPageBreak"/>
      </w:pPr>
    </w:p>
    <w:p w:rsidR="00000000" w:rsidRPr="000100AF" w:rsidP="000100AF">
      <w:pPr>
        <w:pStyle w:val="Heading1"/>
      </w:pPr>
      <w:bookmarkStart w:id="10" w:name="O_621457"/>
      <w:bookmarkEnd w:id="10"/>
      <w:r w:rsidRPr="000100AF">
        <w:t>Links</w:t>
      </w:r>
    </w:p>
    <w:p w:rsidR="00000000" w:rsidRPr="000100AF" w:rsidP="000100AF">
      <w:pPr>
        <w:pStyle w:val="BodyText"/>
      </w:pPr>
      <w:r w:rsidRPr="000100AF">
        <w:t>Companion Volume implementation guides are found in VETNet - https://vetnet.education.gov.au/Pages/TrainingDocs.aspx?q=0601ab95-583a-4e93-b2d4-cfb27b03ed73</w:t>
      </w:r>
    </w:p>
    <w:p w:rsidR="00000000" w:rsidRPr="000100AF" w:rsidP="000100AF"/>
    <w:sectPr w:rsidSect="000100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AF" w:rsidRPr="008D1014" w:rsidP="008D10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14" w:rsidP="000100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D1014" w:rsidP="000100A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1014" w:rsidP="000100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0AF" w:rsidRPr="008D1014" w:rsidP="008D10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0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014" w:rsidRPr="002D2AF8" w:rsidP="000100AF">
    <w:pPr>
      <w:pStyle w:val="Header"/>
      <w:framePr w:wrap="around"/>
    </w:pPr>
    <w:r>
      <w:fldChar w:fldCharType="begin"/>
    </w:r>
    <w:r>
      <w:instrText xml:space="preserve"> TITLE   \* MERGEFORMAT </w:instrText>
    </w:r>
    <w:r>
      <w:fldChar w:fldCharType="separate"/>
    </w:r>
    <w:r>
      <w:t>MSFSL3004 Prepare and install architectural engineered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D1014" w:rsidP="000100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E84B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6C78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64F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0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0AF"/>
    <w:pPr>
      <w:spacing w:before="360" w:after="60"/>
      <w:outlineLvl w:val="0"/>
    </w:pPr>
    <w:rPr>
      <w:sz w:val="32"/>
    </w:rPr>
  </w:style>
  <w:style w:type="paragraph" w:styleId="Heading2">
    <w:name w:val="heading 2"/>
    <w:basedOn w:val="HeadingBase"/>
    <w:next w:val="BodyText"/>
    <w:link w:val="Heading2Char"/>
    <w:qFormat/>
    <w:rsid w:val="000100AF"/>
    <w:pPr>
      <w:keepLines/>
      <w:spacing w:before="240" w:after="120"/>
      <w:outlineLvl w:val="1"/>
    </w:pPr>
    <w:rPr>
      <w:sz w:val="28"/>
      <w:szCs w:val="40"/>
    </w:rPr>
  </w:style>
  <w:style w:type="paragraph" w:styleId="Heading3">
    <w:name w:val="heading 3"/>
    <w:basedOn w:val="HeadingBase"/>
    <w:next w:val="BodyText"/>
    <w:link w:val="Heading3Char"/>
    <w:qFormat/>
    <w:rsid w:val="000100AF"/>
    <w:pPr>
      <w:spacing w:before="180" w:after="120"/>
      <w:outlineLvl w:val="2"/>
    </w:pPr>
    <w:rPr>
      <w:spacing w:val="-10"/>
      <w:kern w:val="32"/>
    </w:rPr>
  </w:style>
  <w:style w:type="paragraph" w:styleId="Heading4">
    <w:name w:val="heading 4"/>
    <w:basedOn w:val="HeadingBase"/>
    <w:next w:val="BodyText"/>
    <w:link w:val="Heading4Char"/>
    <w:qFormat/>
    <w:rsid w:val="000100AF"/>
    <w:pPr>
      <w:spacing w:before="160" w:after="120"/>
      <w:outlineLvl w:val="3"/>
    </w:pPr>
    <w:rPr>
      <w:sz w:val="22"/>
    </w:rPr>
  </w:style>
  <w:style w:type="paragraph" w:styleId="Heading5">
    <w:name w:val="heading 5"/>
    <w:basedOn w:val="HeadingBase"/>
    <w:next w:val="Normal"/>
    <w:link w:val="Heading5Char"/>
    <w:qFormat/>
    <w:rsid w:val="000100AF"/>
    <w:pPr>
      <w:spacing w:before="80"/>
      <w:outlineLvl w:val="4"/>
    </w:pPr>
    <w:rPr>
      <w:color w:val="918585"/>
      <w:sz w:val="20"/>
    </w:rPr>
  </w:style>
  <w:style w:type="paragraph" w:styleId="Heading6">
    <w:name w:val="heading 6"/>
    <w:basedOn w:val="HeadingBase"/>
    <w:next w:val="Normal"/>
    <w:link w:val="Heading6Char"/>
    <w:qFormat/>
    <w:rsid w:val="000100AF"/>
    <w:pPr>
      <w:spacing w:before="60"/>
      <w:outlineLvl w:val="5"/>
    </w:pPr>
    <w:rPr>
      <w:color w:val="918585"/>
      <w:sz w:val="20"/>
    </w:rPr>
  </w:style>
  <w:style w:type="paragraph" w:styleId="Heading7">
    <w:name w:val="heading 7"/>
    <w:basedOn w:val="Normal"/>
    <w:next w:val="Normal"/>
    <w:link w:val="Heading7Char"/>
    <w:qFormat/>
    <w:rsid w:val="000100AF"/>
    <w:pPr>
      <w:ind w:left="720"/>
      <w:outlineLvl w:val="6"/>
    </w:pPr>
    <w:rPr>
      <w:i/>
    </w:rPr>
  </w:style>
  <w:style w:type="paragraph" w:styleId="Heading8">
    <w:name w:val="heading 8"/>
    <w:basedOn w:val="Normal"/>
    <w:next w:val="Normal"/>
    <w:link w:val="Heading8Char"/>
    <w:qFormat/>
    <w:rsid w:val="000100AF"/>
    <w:pPr>
      <w:ind w:left="720"/>
      <w:outlineLvl w:val="7"/>
    </w:pPr>
    <w:rPr>
      <w:i/>
    </w:rPr>
  </w:style>
  <w:style w:type="paragraph" w:styleId="Heading9">
    <w:name w:val="heading 9"/>
    <w:basedOn w:val="Normal"/>
    <w:next w:val="Normal"/>
    <w:link w:val="Heading9Char"/>
    <w:qFormat/>
    <w:rsid w:val="000100AF"/>
    <w:pPr>
      <w:ind w:left="720"/>
      <w:outlineLvl w:val="8"/>
    </w:pPr>
    <w:rPr>
      <w:i/>
    </w:rPr>
  </w:style>
  <w:style w:type="character" w:default="1" w:styleId="DefaultParagraphFont">
    <w:name w:val="Default Paragraph Font"/>
    <w:uiPriority w:val="1"/>
    <w:unhideWhenUsed/>
    <w:rsid w:val="000100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0AF"/>
  </w:style>
  <w:style w:type="character" w:customStyle="1" w:styleId="Heading1Char">
    <w:name w:val="Heading 1 Char"/>
    <w:basedOn w:val="DefaultParagraphFont"/>
    <w:link w:val="Heading1"/>
    <w:rsid w:val="000100AF"/>
    <w:rPr>
      <w:rFonts w:ascii="Times New Roman" w:eastAsia="Times New Roman" w:hAnsi="Times New Roman" w:cs="Times New Roman"/>
      <w:b/>
      <w:sz w:val="32"/>
      <w:szCs w:val="20"/>
      <w:lang w:eastAsia="en-US"/>
    </w:rPr>
  </w:style>
  <w:style w:type="paragraph" w:styleId="BodyText">
    <w:name w:val="Body Text"/>
    <w:basedOn w:val="Normal"/>
    <w:link w:val="BodyTextChar"/>
    <w:rsid w:val="000100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00AF"/>
    <w:rPr>
      <w:rFonts w:ascii="Times New Roman" w:eastAsia="Times New Roman" w:hAnsi="Times New Roman" w:cs="Times New Roman"/>
      <w:sz w:val="24"/>
      <w:lang w:eastAsia="en-US"/>
    </w:rPr>
  </w:style>
  <w:style w:type="paragraph" w:styleId="ListBullet">
    <w:name w:val="List Bullet"/>
    <w:basedOn w:val="List"/>
    <w:rsid w:val="000100AF"/>
    <w:pPr>
      <w:numPr>
        <w:numId w:val="13"/>
      </w:numPr>
      <w:tabs>
        <w:tab w:val="clear" w:pos="340"/>
      </w:tabs>
      <w:spacing w:before="40" w:after="40"/>
    </w:pPr>
  </w:style>
  <w:style w:type="character" w:customStyle="1" w:styleId="SpecialBold">
    <w:name w:val="Special Bold"/>
    <w:basedOn w:val="DefaultParagraphFont"/>
    <w:rsid w:val="000100AF"/>
    <w:rPr>
      <w:b/>
      <w:spacing w:val="0"/>
    </w:rPr>
  </w:style>
  <w:style w:type="paragraph" w:styleId="ListBullet2">
    <w:name w:val="List Bullet 2"/>
    <w:basedOn w:val="List2"/>
    <w:rsid w:val="000100AF"/>
    <w:pPr>
      <w:numPr>
        <w:numId w:val="14"/>
      </w:numPr>
      <w:tabs>
        <w:tab w:val="clear" w:pos="680"/>
      </w:tabs>
    </w:pPr>
  </w:style>
  <w:style w:type="character" w:styleId="Emphasis">
    <w:name w:val="Emphasis"/>
    <w:basedOn w:val="DefaultParagraphFont"/>
    <w:qFormat/>
    <w:rsid w:val="000100AF"/>
    <w:rPr>
      <w:i/>
    </w:rPr>
  </w:style>
  <w:style w:type="paragraph" w:customStyle="1" w:styleId="SuperHeading">
    <w:name w:val="SuperHeading"/>
    <w:basedOn w:val="Normal"/>
    <w:rsid w:val="000100AF"/>
    <w:pPr>
      <w:spacing w:before="240" w:after="120"/>
      <w:outlineLvl w:val="0"/>
    </w:pPr>
    <w:rPr>
      <w:rFonts w:ascii="Times New Roman" w:hAnsi="Times New Roman"/>
      <w:b/>
      <w:sz w:val="32"/>
    </w:rPr>
  </w:style>
  <w:style w:type="paragraph" w:customStyle="1" w:styleId="AllowPageBreak">
    <w:name w:val="AllowPageBreak"/>
    <w:rsid w:val="000100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0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0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0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0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0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0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0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0AF"/>
    <w:rPr>
      <w:rFonts w:ascii="Courier New" w:eastAsia="Times New Roman" w:hAnsi="Courier New" w:cs="Times New Roman"/>
      <w:i/>
      <w:szCs w:val="20"/>
      <w:lang w:eastAsia="en-US"/>
    </w:rPr>
  </w:style>
  <w:style w:type="paragraph" w:customStyle="1" w:styleId="HeadingBase">
    <w:name w:val="Heading Base"/>
    <w:rsid w:val="000100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0AF"/>
    <w:pPr>
      <w:tabs>
        <w:tab w:val="right" w:leader="dot" w:pos="9072"/>
      </w:tabs>
      <w:ind w:left="567"/>
    </w:pPr>
    <w:rPr>
      <w:szCs w:val="22"/>
    </w:rPr>
  </w:style>
  <w:style w:type="paragraph" w:customStyle="1" w:styleId="TOCBase">
    <w:name w:val="TOC Base"/>
    <w:rsid w:val="000100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0AF"/>
    <w:pPr>
      <w:tabs>
        <w:tab w:val="right" w:leader="dot" w:pos="9072"/>
      </w:tabs>
      <w:spacing w:before="40" w:after="40"/>
      <w:ind w:left="284"/>
    </w:pPr>
    <w:rPr>
      <w:rFonts w:ascii="Times New Roman" w:hAnsi="Times New Roman"/>
    </w:rPr>
  </w:style>
  <w:style w:type="paragraph" w:styleId="TOC1">
    <w:name w:val="toc 1"/>
    <w:basedOn w:val="TOCBase"/>
    <w:next w:val="Normal"/>
    <w:rsid w:val="000100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0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0AF"/>
    <w:rPr>
      <w:rFonts w:ascii="Times New Roman" w:eastAsia="Times New Roman" w:hAnsi="Times New Roman" w:cs="Times New Roman"/>
      <w:sz w:val="16"/>
      <w:lang w:eastAsia="en-US"/>
    </w:rPr>
  </w:style>
  <w:style w:type="paragraph" w:styleId="Title">
    <w:name w:val="Title"/>
    <w:basedOn w:val="HeadingBase"/>
    <w:link w:val="TitleChar"/>
    <w:qFormat/>
    <w:rsid w:val="000100AF"/>
    <w:pPr>
      <w:spacing w:before="5040"/>
      <w:jc w:val="center"/>
    </w:pPr>
    <w:rPr>
      <w:sz w:val="48"/>
      <w:szCs w:val="72"/>
      <w:lang w:val="en-US"/>
    </w:rPr>
  </w:style>
  <w:style w:type="character" w:customStyle="1" w:styleId="TitleChar">
    <w:name w:val="Title Char"/>
    <w:basedOn w:val="DefaultParagraphFont"/>
    <w:link w:val="Title"/>
    <w:rsid w:val="000100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0AF"/>
    <w:pPr>
      <w:tabs>
        <w:tab w:val="left" w:pos="3600"/>
        <w:tab w:val="left" w:pos="3958"/>
      </w:tabs>
    </w:pPr>
  </w:style>
  <w:style w:type="paragraph" w:styleId="List">
    <w:name w:val="List"/>
    <w:basedOn w:val="BodyText"/>
    <w:next w:val="BodyText"/>
    <w:rsid w:val="000100AF"/>
    <w:pPr>
      <w:tabs>
        <w:tab w:val="left" w:pos="340"/>
      </w:tabs>
      <w:spacing w:before="60" w:after="60"/>
      <w:ind w:left="340" w:hanging="340"/>
    </w:pPr>
  </w:style>
  <w:style w:type="paragraph" w:customStyle="1" w:styleId="Note">
    <w:name w:val="Note"/>
    <w:basedOn w:val="BodyText"/>
    <w:rsid w:val="000100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0AF"/>
    <w:pPr>
      <w:framePr w:wrap="auto" w:hAnchor="text" w:y="6049"/>
    </w:pPr>
    <w:rPr>
      <w:color w:val="000000"/>
      <w:sz w:val="40"/>
    </w:rPr>
  </w:style>
  <w:style w:type="paragraph" w:customStyle="1" w:styleId="TOCTitle">
    <w:name w:val="TOCTitle"/>
    <w:basedOn w:val="Heading1"/>
    <w:rsid w:val="000100AF"/>
    <w:pPr>
      <w:spacing w:after="240"/>
      <w:jc w:val="center"/>
      <w:outlineLvl w:val="9"/>
    </w:pPr>
    <w:rPr>
      <w:caps/>
    </w:rPr>
  </w:style>
  <w:style w:type="paragraph" w:customStyle="1" w:styleId="Version">
    <w:name w:val="Version"/>
    <w:rsid w:val="000100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00AF"/>
    <w:pPr>
      <w:keepNext w:val="0"/>
      <w:tabs>
        <w:tab w:val="right" w:pos="4176"/>
      </w:tabs>
      <w:ind w:left="198" w:hanging="198"/>
    </w:pPr>
    <w:rPr>
      <w:rFonts w:ascii="Garamond" w:hAnsi="Garamond"/>
    </w:rPr>
  </w:style>
  <w:style w:type="paragraph" w:styleId="IndexHeading">
    <w:name w:val="index heading"/>
    <w:basedOn w:val="Normal"/>
    <w:next w:val="Index1"/>
    <w:semiHidden/>
    <w:rsid w:val="000100AF"/>
    <w:pPr>
      <w:spacing w:before="120" w:after="120"/>
    </w:pPr>
    <w:rPr>
      <w:rFonts w:ascii="Arial" w:hAnsi="Arial"/>
      <w:b/>
      <w:color w:val="918585"/>
      <w:sz w:val="24"/>
    </w:rPr>
  </w:style>
  <w:style w:type="paragraph" w:styleId="Header">
    <w:name w:val="header"/>
    <w:basedOn w:val="Normal"/>
    <w:link w:val="HeaderChar"/>
    <w:rsid w:val="000100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0AF"/>
    <w:rPr>
      <w:rFonts w:ascii="Times New Roman" w:eastAsia="Times New Roman" w:hAnsi="Times New Roman" w:cs="Times New Roman"/>
      <w:sz w:val="16"/>
      <w:szCs w:val="20"/>
      <w:lang w:val="en-GB" w:eastAsia="en-US"/>
    </w:rPr>
  </w:style>
  <w:style w:type="paragraph" w:customStyle="1" w:styleId="Chapter">
    <w:name w:val="Chapter"/>
    <w:basedOn w:val="Normal"/>
    <w:rsid w:val="000100AF"/>
    <w:pPr>
      <w:spacing w:before="240"/>
    </w:pPr>
    <w:rPr>
      <w:rFonts w:ascii="Times New Roman" w:hAnsi="Times New Roman"/>
      <w:smallCaps/>
      <w:spacing w:val="80"/>
      <w:sz w:val="28"/>
    </w:rPr>
  </w:style>
  <w:style w:type="paragraph" w:customStyle="1" w:styleId="InChapter">
    <w:name w:val="InChapter"/>
    <w:basedOn w:val="Heading3"/>
    <w:rsid w:val="000100AF"/>
    <w:pPr>
      <w:spacing w:after="240"/>
      <w:outlineLvl w:val="9"/>
    </w:pPr>
    <w:rPr>
      <w:noProof/>
    </w:rPr>
  </w:style>
  <w:style w:type="paragraph" w:styleId="Index2">
    <w:name w:val="index 2"/>
    <w:basedOn w:val="Normal"/>
    <w:next w:val="Normal"/>
    <w:semiHidden/>
    <w:rsid w:val="000100AF"/>
    <w:pPr>
      <w:tabs>
        <w:tab w:val="right" w:pos="4176"/>
      </w:tabs>
      <w:ind w:left="568" w:hanging="284"/>
    </w:pPr>
    <w:rPr>
      <w:rFonts w:ascii="Garamond" w:hAnsi="Garamond"/>
    </w:rPr>
  </w:style>
  <w:style w:type="paragraph" w:customStyle="1" w:styleId="Byline">
    <w:name w:val="Byline"/>
    <w:rsid w:val="000100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0AF"/>
    <w:pPr>
      <w:tabs>
        <w:tab w:val="clear" w:pos="3600"/>
        <w:tab w:val="clear" w:pos="3958"/>
      </w:tabs>
      <w:jc w:val="right"/>
    </w:pPr>
  </w:style>
  <w:style w:type="paragraph" w:styleId="Caption">
    <w:name w:val="caption"/>
    <w:basedOn w:val="BodyText"/>
    <w:next w:val="Normal"/>
    <w:qFormat/>
    <w:rsid w:val="000100AF"/>
    <w:pPr>
      <w:framePr w:w="2268" w:hSpace="181" w:vSpace="181" w:wrap="around" w:vAnchor="text" w:hAnchor="page" w:x="1135" w:y="285" w:anchorLock="1"/>
    </w:pPr>
    <w:rPr>
      <w:i/>
    </w:rPr>
  </w:style>
  <w:style w:type="paragraph" w:customStyle="1" w:styleId="MiniTOCTitle">
    <w:name w:val="MiniTOCTitle"/>
    <w:basedOn w:val="Heading4"/>
    <w:rsid w:val="000100AF"/>
    <w:pPr>
      <w:spacing w:before="240"/>
      <w:outlineLvl w:val="9"/>
    </w:pPr>
    <w:rPr>
      <w:noProof/>
      <w:sz w:val="24"/>
    </w:rPr>
  </w:style>
  <w:style w:type="paragraph" w:customStyle="1" w:styleId="MiniTOCItem">
    <w:name w:val="MiniTOCItem"/>
    <w:basedOn w:val="ListBullet"/>
    <w:rsid w:val="000100AF"/>
    <w:pPr>
      <w:numPr>
        <w:numId w:val="0"/>
      </w:numPr>
      <w:tabs>
        <w:tab w:val="right" w:leader="dot" w:pos="6521"/>
      </w:tabs>
      <w:spacing w:before="0" w:after="0"/>
    </w:pPr>
  </w:style>
  <w:style w:type="paragraph" w:customStyle="1" w:styleId="TOFTitle">
    <w:name w:val="TOFTitle"/>
    <w:basedOn w:val="TOCTitle"/>
    <w:rsid w:val="000100AF"/>
  </w:style>
  <w:style w:type="paragraph" w:styleId="TableofFigures">
    <w:name w:val="table of figures"/>
    <w:basedOn w:val="Normal"/>
    <w:next w:val="Normal"/>
    <w:semiHidden/>
    <w:rsid w:val="000100AF"/>
    <w:pPr>
      <w:tabs>
        <w:tab w:val="right" w:leader="dot" w:pos="9072"/>
      </w:tabs>
      <w:ind w:left="970" w:hanging="403"/>
    </w:pPr>
    <w:rPr>
      <w:rFonts w:ascii="Times New Roman" w:hAnsi="Times New Roman"/>
      <w:b/>
    </w:rPr>
  </w:style>
  <w:style w:type="paragraph" w:styleId="ListNumber">
    <w:name w:val="List Number"/>
    <w:basedOn w:val="List"/>
    <w:rsid w:val="000100AF"/>
    <w:pPr>
      <w:numPr>
        <w:numId w:val="11"/>
      </w:numPr>
    </w:pPr>
  </w:style>
  <w:style w:type="character" w:customStyle="1" w:styleId="WingdingSymbols">
    <w:name w:val="Wingding Symbols"/>
    <w:rsid w:val="000100AF"/>
    <w:rPr>
      <w:rFonts w:ascii="Wingdings" w:hAnsi="Wingdings"/>
    </w:rPr>
  </w:style>
  <w:style w:type="paragraph" w:customStyle="1" w:styleId="TableHeading">
    <w:name w:val="Table Heading"/>
    <w:basedOn w:val="HeadingBase"/>
    <w:rsid w:val="000100AF"/>
    <w:pPr>
      <w:keepLines/>
      <w:pBdr>
        <w:bottom w:val="single" w:sz="6" w:space="1" w:color="918585"/>
      </w:pBdr>
      <w:spacing w:before="240"/>
    </w:pPr>
  </w:style>
  <w:style w:type="character" w:customStyle="1" w:styleId="HotSpot">
    <w:name w:val="HotSpot"/>
    <w:rsid w:val="000100AF"/>
    <w:rPr>
      <w:color w:val="0033CC"/>
      <w:u w:val="none"/>
    </w:rPr>
  </w:style>
  <w:style w:type="paragraph" w:customStyle="1" w:styleId="BodyTextRight">
    <w:name w:val="Body Text Right"/>
    <w:basedOn w:val="BodyText"/>
    <w:rsid w:val="000100AF"/>
    <w:pPr>
      <w:spacing w:before="0" w:after="0"/>
      <w:jc w:val="right"/>
    </w:pPr>
  </w:style>
  <w:style w:type="paragraph" w:styleId="Index3">
    <w:name w:val="index 3"/>
    <w:basedOn w:val="ListNumber2"/>
    <w:next w:val="Normal"/>
    <w:semiHidden/>
    <w:rsid w:val="000100AF"/>
    <w:pPr>
      <w:numPr>
        <w:numId w:val="0"/>
      </w:numPr>
      <w:tabs>
        <w:tab w:val="right" w:leader="dot" w:pos="4176"/>
      </w:tabs>
    </w:pPr>
  </w:style>
  <w:style w:type="paragraph" w:styleId="ListNumber2">
    <w:name w:val="List Number 2"/>
    <w:basedOn w:val="List2"/>
    <w:rsid w:val="000100AF"/>
    <w:pPr>
      <w:numPr>
        <w:numId w:val="10"/>
      </w:numPr>
      <w:tabs>
        <w:tab w:val="clear" w:pos="1060"/>
      </w:tabs>
    </w:pPr>
  </w:style>
  <w:style w:type="paragraph" w:customStyle="1" w:styleId="MarginNote">
    <w:name w:val="Margin Note"/>
    <w:basedOn w:val="BodyText"/>
    <w:rsid w:val="000100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0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0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0AF"/>
    <w:rPr>
      <w:sz w:val="32"/>
    </w:rPr>
  </w:style>
  <w:style w:type="paragraph" w:customStyle="1" w:styleId="HeadingProcedure">
    <w:name w:val="Heading Procedure"/>
    <w:basedOn w:val="HeadingBase"/>
    <w:next w:val="Normal"/>
    <w:rsid w:val="000100AF"/>
    <w:pPr>
      <w:tabs>
        <w:tab w:val="left" w:pos="0"/>
      </w:tabs>
      <w:spacing w:before="120" w:after="60"/>
    </w:pPr>
    <w:rPr>
      <w:i/>
      <w:color w:val="918585"/>
      <w:sz w:val="22"/>
    </w:rPr>
  </w:style>
  <w:style w:type="paragraph" w:customStyle="1" w:styleId="TableBodyText">
    <w:name w:val="Table Body Text"/>
    <w:basedOn w:val="BodyText"/>
    <w:rsid w:val="000100AF"/>
    <w:pPr>
      <w:spacing w:before="60" w:after="60"/>
    </w:pPr>
  </w:style>
  <w:style w:type="paragraph" w:styleId="ListContinue">
    <w:name w:val="List Continue"/>
    <w:basedOn w:val="List"/>
    <w:rsid w:val="000100AF"/>
    <w:pPr>
      <w:ind w:firstLine="0"/>
    </w:pPr>
  </w:style>
  <w:style w:type="paragraph" w:customStyle="1" w:styleId="ListNote">
    <w:name w:val="List Note"/>
    <w:basedOn w:val="List"/>
    <w:rsid w:val="000100AF"/>
    <w:pPr>
      <w:pBdr>
        <w:top w:val="single" w:sz="6" w:space="2" w:color="918585"/>
        <w:bottom w:val="single" w:sz="6" w:space="2" w:color="918585"/>
      </w:pBdr>
      <w:tabs>
        <w:tab w:val="left" w:pos="1021"/>
      </w:tabs>
      <w:ind w:firstLine="0"/>
    </w:pPr>
  </w:style>
  <w:style w:type="paragraph" w:customStyle="1" w:styleId="Warning">
    <w:name w:val="Warning"/>
    <w:basedOn w:val="BodyText"/>
    <w:rsid w:val="000100AF"/>
    <w:pPr>
      <w:shd w:val="clear" w:color="auto" w:fill="D9D9D9"/>
      <w:tabs>
        <w:tab w:val="left" w:pos="992"/>
      </w:tabs>
      <w:ind w:left="119" w:right="119"/>
    </w:pPr>
    <w:rPr>
      <w:sz w:val="20"/>
    </w:rPr>
  </w:style>
  <w:style w:type="paragraph" w:customStyle="1" w:styleId="MarginIcons">
    <w:name w:val="Margin Icons"/>
    <w:basedOn w:val="BodyText"/>
    <w:rsid w:val="000100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0AF"/>
    <w:rPr>
      <w:rFonts w:ascii="Courier New" w:hAnsi="Courier New"/>
    </w:rPr>
  </w:style>
  <w:style w:type="paragraph" w:customStyle="1" w:styleId="NoteBullet">
    <w:name w:val="Note Bullet"/>
    <w:basedOn w:val="Note"/>
    <w:rsid w:val="000100AF"/>
    <w:pPr>
      <w:tabs>
        <w:tab w:val="clear" w:pos="680"/>
      </w:tabs>
      <w:spacing w:before="60" w:after="60"/>
    </w:pPr>
  </w:style>
  <w:style w:type="paragraph" w:customStyle="1" w:styleId="SubHeading2">
    <w:name w:val="SubHeading2"/>
    <w:basedOn w:val="HeadingBase"/>
    <w:rsid w:val="000100AF"/>
    <w:pPr>
      <w:spacing w:before="240" w:after="60"/>
    </w:pPr>
    <w:rPr>
      <w:sz w:val="20"/>
    </w:rPr>
  </w:style>
  <w:style w:type="paragraph" w:customStyle="1" w:styleId="SubHeading1">
    <w:name w:val="SubHeading1"/>
    <w:basedOn w:val="HeadingBase"/>
    <w:rsid w:val="000100AF"/>
    <w:pPr>
      <w:spacing w:before="240" w:after="60"/>
    </w:pPr>
    <w:rPr>
      <w:color w:val="918585"/>
      <w:sz w:val="22"/>
    </w:rPr>
  </w:style>
  <w:style w:type="paragraph" w:customStyle="1" w:styleId="SideHeading">
    <w:name w:val="Side Heading"/>
    <w:basedOn w:val="HeadingBase"/>
    <w:rsid w:val="000100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0AF"/>
    <w:pPr>
      <w:numPr>
        <w:numId w:val="12"/>
      </w:numPr>
    </w:pPr>
  </w:style>
  <w:style w:type="paragraph" w:styleId="PlainText">
    <w:name w:val="Plain Text"/>
    <w:basedOn w:val="Normal"/>
    <w:link w:val="PlainTextChar"/>
    <w:rsid w:val="000100AF"/>
    <w:rPr>
      <w:sz w:val="20"/>
    </w:rPr>
  </w:style>
  <w:style w:type="character" w:customStyle="1" w:styleId="PlainTextChar">
    <w:name w:val="Plain Text Char"/>
    <w:basedOn w:val="DefaultParagraphFont"/>
    <w:link w:val="PlainText"/>
    <w:rsid w:val="000100AF"/>
    <w:rPr>
      <w:rFonts w:ascii="Courier New" w:eastAsia="Times New Roman" w:hAnsi="Courier New" w:cs="Times New Roman"/>
      <w:sz w:val="20"/>
      <w:szCs w:val="20"/>
      <w:lang w:eastAsia="en-US"/>
    </w:rPr>
  </w:style>
  <w:style w:type="character" w:customStyle="1" w:styleId="MenuOption">
    <w:name w:val="Menu Option"/>
    <w:basedOn w:val="DefaultParagraphFont"/>
    <w:rsid w:val="000100AF"/>
    <w:rPr>
      <w:b/>
      <w:smallCaps/>
    </w:rPr>
  </w:style>
  <w:style w:type="paragraph" w:customStyle="1" w:styleId="TableListNumber">
    <w:name w:val="Table List Number"/>
    <w:basedOn w:val="ListNumber"/>
    <w:rsid w:val="000100AF"/>
    <w:pPr>
      <w:numPr>
        <w:numId w:val="0"/>
      </w:numPr>
    </w:pPr>
  </w:style>
  <w:style w:type="paragraph" w:styleId="TOC4">
    <w:name w:val="toc 4"/>
    <w:basedOn w:val="TOCBase"/>
    <w:next w:val="Normal"/>
    <w:semiHidden/>
    <w:rsid w:val="000100AF"/>
    <w:pPr>
      <w:tabs>
        <w:tab w:val="right" w:leader="dot" w:pos="9071"/>
      </w:tabs>
      <w:ind w:left="1701"/>
    </w:pPr>
  </w:style>
  <w:style w:type="paragraph" w:customStyle="1" w:styleId="ListAlpha">
    <w:name w:val="List Alpha"/>
    <w:basedOn w:val="List"/>
    <w:rsid w:val="000100AF"/>
    <w:pPr>
      <w:numPr>
        <w:numId w:val="9"/>
      </w:numPr>
    </w:pPr>
  </w:style>
  <w:style w:type="paragraph" w:customStyle="1" w:styleId="ListAlpha2">
    <w:name w:val="List Alpha 2"/>
    <w:basedOn w:val="List2"/>
    <w:rsid w:val="000100AF"/>
    <w:pPr>
      <w:numPr>
        <w:numId w:val="8"/>
      </w:numPr>
    </w:pPr>
  </w:style>
  <w:style w:type="paragraph" w:styleId="List2">
    <w:name w:val="List 2"/>
    <w:basedOn w:val="BodyText"/>
    <w:rsid w:val="000100AF"/>
    <w:pPr>
      <w:tabs>
        <w:tab w:val="left" w:pos="680"/>
      </w:tabs>
      <w:spacing w:before="60" w:after="60"/>
      <w:ind w:left="680" w:hanging="340"/>
    </w:pPr>
  </w:style>
  <w:style w:type="paragraph" w:styleId="List3">
    <w:name w:val="List 3"/>
    <w:basedOn w:val="BodyText"/>
    <w:rsid w:val="000100AF"/>
    <w:pPr>
      <w:tabs>
        <w:tab w:val="left" w:pos="1021"/>
      </w:tabs>
      <w:spacing w:before="60" w:after="60"/>
      <w:ind w:left="1020" w:hanging="340"/>
    </w:pPr>
  </w:style>
  <w:style w:type="paragraph" w:styleId="List4">
    <w:name w:val="List 4"/>
    <w:basedOn w:val="BodyText"/>
    <w:rsid w:val="000100AF"/>
    <w:pPr>
      <w:tabs>
        <w:tab w:val="left" w:pos="1361"/>
      </w:tabs>
      <w:spacing w:before="60" w:after="60"/>
      <w:ind w:left="1361" w:hanging="340"/>
    </w:pPr>
  </w:style>
  <w:style w:type="paragraph" w:styleId="List5">
    <w:name w:val="List 5"/>
    <w:basedOn w:val="BodyText"/>
    <w:rsid w:val="000100AF"/>
    <w:pPr>
      <w:tabs>
        <w:tab w:val="left" w:pos="1701"/>
      </w:tabs>
      <w:spacing w:before="60" w:after="60"/>
      <w:ind w:left="1701" w:hanging="340"/>
    </w:pPr>
  </w:style>
  <w:style w:type="paragraph" w:styleId="ListBullet3">
    <w:name w:val="List Bullet 3"/>
    <w:basedOn w:val="List3"/>
    <w:rsid w:val="000100AF"/>
    <w:pPr>
      <w:numPr>
        <w:numId w:val="15"/>
      </w:numPr>
      <w:tabs>
        <w:tab w:val="clear" w:pos="1021"/>
      </w:tabs>
      <w:ind w:left="1037" w:hanging="357"/>
    </w:pPr>
  </w:style>
  <w:style w:type="paragraph" w:styleId="ListBullet4">
    <w:name w:val="List Bullet 4"/>
    <w:basedOn w:val="List4"/>
    <w:rsid w:val="000100AF"/>
    <w:pPr>
      <w:numPr>
        <w:numId w:val="3"/>
      </w:numPr>
      <w:tabs>
        <w:tab w:val="clear" w:pos="1361"/>
      </w:tabs>
    </w:pPr>
  </w:style>
  <w:style w:type="paragraph" w:styleId="ListBullet5">
    <w:name w:val="List Bullet 5"/>
    <w:basedOn w:val="List5"/>
    <w:rsid w:val="000100AF"/>
    <w:pPr>
      <w:numPr>
        <w:numId w:val="4"/>
      </w:numPr>
    </w:pPr>
  </w:style>
  <w:style w:type="paragraph" w:styleId="ListContinue2">
    <w:name w:val="List Continue 2"/>
    <w:basedOn w:val="List2"/>
    <w:rsid w:val="000100AF"/>
    <w:pPr>
      <w:ind w:firstLine="0"/>
    </w:pPr>
  </w:style>
  <w:style w:type="paragraph" w:styleId="ListContinue3">
    <w:name w:val="List Continue 3"/>
    <w:basedOn w:val="List3"/>
    <w:rsid w:val="000100AF"/>
    <w:pPr>
      <w:ind w:left="1021" w:firstLine="0"/>
    </w:pPr>
  </w:style>
  <w:style w:type="paragraph" w:styleId="ListContinue4">
    <w:name w:val="List Continue 4"/>
    <w:basedOn w:val="List4"/>
    <w:rsid w:val="000100AF"/>
    <w:pPr>
      <w:ind w:firstLine="0"/>
    </w:pPr>
  </w:style>
  <w:style w:type="paragraph" w:styleId="ListContinue5">
    <w:name w:val="List Continue 5"/>
    <w:basedOn w:val="List5"/>
    <w:rsid w:val="000100AF"/>
    <w:pPr>
      <w:ind w:firstLine="0"/>
    </w:pPr>
  </w:style>
  <w:style w:type="paragraph" w:styleId="ListNumber3">
    <w:name w:val="List Number 3"/>
    <w:basedOn w:val="List3"/>
    <w:rsid w:val="000100AF"/>
    <w:pPr>
      <w:numPr>
        <w:numId w:val="5"/>
      </w:numPr>
    </w:pPr>
  </w:style>
  <w:style w:type="paragraph" w:styleId="ListNumber4">
    <w:name w:val="List Number 4"/>
    <w:basedOn w:val="List4"/>
    <w:rsid w:val="000100AF"/>
    <w:pPr>
      <w:numPr>
        <w:numId w:val="6"/>
      </w:numPr>
    </w:pPr>
  </w:style>
  <w:style w:type="paragraph" w:styleId="ListNumber5">
    <w:name w:val="List Number 5"/>
    <w:basedOn w:val="List5"/>
    <w:rsid w:val="000100AF"/>
    <w:pPr>
      <w:numPr>
        <w:numId w:val="7"/>
      </w:numPr>
    </w:pPr>
  </w:style>
  <w:style w:type="paragraph" w:styleId="BlockText">
    <w:name w:val="Block Text"/>
    <w:basedOn w:val="Normal"/>
    <w:rsid w:val="000100AF"/>
    <w:pPr>
      <w:spacing w:after="120"/>
      <w:ind w:left="1440" w:right="1440"/>
    </w:pPr>
  </w:style>
  <w:style w:type="character" w:customStyle="1" w:styleId="Subscript">
    <w:name w:val="Subscript"/>
    <w:basedOn w:val="DefaultParagraphFont"/>
    <w:rsid w:val="000100AF"/>
    <w:rPr>
      <w:sz w:val="16"/>
      <w:vertAlign w:val="subscript"/>
    </w:rPr>
  </w:style>
  <w:style w:type="character" w:customStyle="1" w:styleId="Superscript">
    <w:name w:val="Superscript"/>
    <w:basedOn w:val="DefaultParagraphFont"/>
    <w:rsid w:val="000100AF"/>
    <w:rPr>
      <w:sz w:val="16"/>
      <w:vertAlign w:val="superscript"/>
    </w:rPr>
  </w:style>
  <w:style w:type="character" w:customStyle="1" w:styleId="Symbols">
    <w:name w:val="Symbols"/>
    <w:basedOn w:val="DefaultParagraphFont"/>
    <w:rsid w:val="000100AF"/>
    <w:rPr>
      <w:rFonts w:ascii="Symbol" w:hAnsi="Symbol"/>
    </w:rPr>
  </w:style>
  <w:style w:type="character" w:customStyle="1" w:styleId="MenuOptions">
    <w:name w:val="Menu Options"/>
    <w:basedOn w:val="DefaultParagraphFont"/>
    <w:rsid w:val="000100AF"/>
    <w:rPr>
      <w:rFonts w:ascii="Arial Narrow" w:hAnsi="Arial Narrow"/>
      <w:smallCaps/>
    </w:rPr>
  </w:style>
  <w:style w:type="character" w:customStyle="1" w:styleId="Buttons">
    <w:name w:val="Buttons"/>
    <w:basedOn w:val="DefaultParagraphFont"/>
    <w:rsid w:val="000100AF"/>
    <w:rPr>
      <w:b/>
    </w:rPr>
  </w:style>
  <w:style w:type="character" w:customStyle="1" w:styleId="Underlined">
    <w:name w:val="Underlined"/>
    <w:basedOn w:val="DefaultParagraphFont"/>
    <w:rsid w:val="000100AF"/>
    <w:rPr>
      <w:u w:val="single"/>
    </w:rPr>
  </w:style>
  <w:style w:type="paragraph" w:customStyle="1" w:styleId="TableBodyTextRight">
    <w:name w:val="Table Body Text Right"/>
    <w:basedOn w:val="TableBodyText"/>
    <w:rsid w:val="000100AF"/>
    <w:pPr>
      <w:widowControl w:val="0"/>
      <w:autoSpaceDE w:val="0"/>
      <w:autoSpaceDN w:val="0"/>
      <w:adjustRightInd w:val="0"/>
      <w:jc w:val="right"/>
    </w:pPr>
    <w:rPr>
      <w:rFonts w:cs="Arial"/>
      <w:szCs w:val="18"/>
    </w:rPr>
  </w:style>
  <w:style w:type="paragraph" w:customStyle="1" w:styleId="CopyrightText">
    <w:name w:val="Copyright Text"/>
    <w:basedOn w:val="BodyText"/>
    <w:rsid w:val="000100AF"/>
    <w:rPr>
      <w:sz w:val="18"/>
    </w:rPr>
  </w:style>
  <w:style w:type="paragraph" w:customStyle="1" w:styleId="BodySmallRight">
    <w:name w:val="Body Small Right"/>
    <w:basedOn w:val="BodyTextRight"/>
    <w:rsid w:val="000100AF"/>
    <w:rPr>
      <w:sz w:val="18"/>
      <w:szCs w:val="18"/>
    </w:rPr>
  </w:style>
  <w:style w:type="paragraph" w:customStyle="1" w:styleId="MarginEdition">
    <w:name w:val="Margin Edition"/>
    <w:basedOn w:val="MarginNote"/>
    <w:rsid w:val="000100AF"/>
    <w:pPr>
      <w:spacing w:before="0" w:after="0"/>
    </w:pPr>
    <w:rPr>
      <w:rFonts w:ascii="Times New Roman" w:hAnsi="Times New Roman"/>
      <w:color w:val="999999"/>
    </w:rPr>
  </w:style>
  <w:style w:type="paragraph" w:customStyle="1" w:styleId="Spacer">
    <w:name w:val="Spacer"/>
    <w:basedOn w:val="Normal"/>
    <w:rsid w:val="000100AF"/>
    <w:rPr>
      <w:sz w:val="2"/>
      <w:szCs w:val="2"/>
    </w:rPr>
  </w:style>
  <w:style w:type="character" w:customStyle="1" w:styleId="Small">
    <w:name w:val="Small"/>
    <w:basedOn w:val="DefaultParagraphFont"/>
    <w:rsid w:val="000100AF"/>
    <w:rPr>
      <w:sz w:val="16"/>
    </w:rPr>
  </w:style>
  <w:style w:type="paragraph" w:customStyle="1" w:styleId="WideTable">
    <w:name w:val="Wide Table"/>
    <w:basedOn w:val="Normal"/>
    <w:rsid w:val="000100AF"/>
    <w:pPr>
      <w:ind w:left="-1418"/>
    </w:pPr>
    <w:rPr>
      <w:sz w:val="2"/>
      <w:szCs w:val="2"/>
    </w:rPr>
  </w:style>
  <w:style w:type="character" w:styleId="PageNumber">
    <w:name w:val="page number"/>
    <w:basedOn w:val="DefaultParagraphFont"/>
    <w:rsid w:val="000100AF"/>
  </w:style>
  <w:style w:type="paragraph" w:styleId="Quote">
    <w:name w:val="Quote"/>
    <w:basedOn w:val="Heading1"/>
    <w:link w:val="QuoteChar"/>
    <w:qFormat/>
    <w:rsid w:val="000100AF"/>
    <w:rPr>
      <w:b w:val="0"/>
      <w:sz w:val="72"/>
      <w:szCs w:val="72"/>
      <w:lang w:val="en-NZ"/>
    </w:rPr>
  </w:style>
  <w:style w:type="character" w:customStyle="1" w:styleId="QuoteChar">
    <w:name w:val="Quote Char"/>
    <w:basedOn w:val="DefaultParagraphFont"/>
    <w:link w:val="Quote"/>
    <w:rsid w:val="000100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0AF"/>
    <w:pPr>
      <w:pageBreakBefore/>
    </w:pPr>
  </w:style>
  <w:style w:type="paragraph" w:customStyle="1" w:styleId="Border">
    <w:name w:val="Border"/>
    <w:basedOn w:val="Normal"/>
    <w:qFormat/>
    <w:rsid w:val="000100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0AF"/>
    <w:rPr>
      <w:b/>
      <w:bCs/>
      <w:i/>
      <w:iCs/>
      <w:color w:val="auto"/>
    </w:rPr>
  </w:style>
  <w:style w:type="paragraph" w:styleId="IntenseQuote">
    <w:name w:val="Intense Quote"/>
    <w:basedOn w:val="Normal"/>
    <w:next w:val="Normal"/>
    <w:link w:val="IntenseQuoteChar"/>
    <w:uiPriority w:val="30"/>
    <w:qFormat/>
    <w:rsid w:val="000100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0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0AF"/>
    <w:rPr>
      <w:smallCaps/>
      <w:color w:val="auto"/>
      <w:u w:val="single"/>
    </w:rPr>
  </w:style>
  <w:style w:type="character" w:styleId="IntenseReference">
    <w:name w:val="Intense Reference"/>
    <w:basedOn w:val="DefaultParagraphFont"/>
    <w:uiPriority w:val="32"/>
    <w:qFormat/>
    <w:rsid w:val="000100AF"/>
    <w:rPr>
      <w:b/>
      <w:bCs/>
      <w:smallCaps/>
      <w:color w:val="auto"/>
      <w:spacing w:val="5"/>
      <w:u w:val="single"/>
    </w:rPr>
  </w:style>
  <w:style w:type="paragraph" w:customStyle="1" w:styleId="2ColumnHeading">
    <w:name w:val="2Column Heading"/>
    <w:basedOn w:val="BodyText"/>
    <w:qFormat/>
    <w:rsid w:val="000100AF"/>
    <w:pPr>
      <w:spacing w:after="60"/>
      <w:ind w:left="-2268"/>
    </w:pPr>
    <w:rPr>
      <w:b/>
    </w:rPr>
  </w:style>
  <w:style w:type="paragraph" w:customStyle="1" w:styleId="Heading1TOC">
    <w:name w:val="Heading1 TOC"/>
    <w:basedOn w:val="Normal"/>
    <w:qFormat/>
    <w:rsid w:val="000100AF"/>
    <w:pPr>
      <w:spacing w:before="240" w:after="120"/>
    </w:pPr>
    <w:rPr>
      <w:rFonts w:ascii="Times New Roman" w:hAnsi="Times New Roman"/>
      <w:b/>
      <w:sz w:val="32"/>
    </w:rPr>
  </w:style>
  <w:style w:type="paragraph" w:customStyle="1" w:styleId="Heading2TOC">
    <w:name w:val="Heading2 TOC"/>
    <w:basedOn w:val="Normal"/>
    <w:qFormat/>
    <w:rsid w:val="000100AF"/>
    <w:pPr>
      <w:spacing w:before="240" w:after="60"/>
    </w:pPr>
    <w:rPr>
      <w:rFonts w:ascii="Times New Roman" w:hAnsi="Times New Roman"/>
      <w:b/>
      <w:sz w:val="28"/>
    </w:rPr>
  </w:style>
  <w:style w:type="character" w:customStyle="1" w:styleId="Underline">
    <w:name w:val="Underline"/>
    <w:basedOn w:val="DefaultParagraphFont"/>
    <w:qFormat/>
    <w:rsid w:val="000100AF"/>
    <w:rPr>
      <w:u w:val="single"/>
    </w:rPr>
  </w:style>
  <w:style w:type="character" w:customStyle="1" w:styleId="BoldandItalics">
    <w:name w:val="Bold and Italics"/>
    <w:qFormat/>
    <w:rsid w:val="000100AF"/>
    <w:rPr>
      <w:b/>
      <w:i/>
      <w:u w:val="none"/>
    </w:rPr>
  </w:style>
  <w:style w:type="paragraph" w:styleId="BalloonText">
    <w:name w:val="Balloon Text"/>
    <w:basedOn w:val="Normal"/>
    <w:link w:val="BalloonTextChar"/>
    <w:rsid w:val="000100AF"/>
    <w:rPr>
      <w:rFonts w:ascii="Tahoma" w:hAnsi="Tahoma" w:cs="Tahoma"/>
      <w:sz w:val="16"/>
      <w:szCs w:val="16"/>
    </w:rPr>
  </w:style>
  <w:style w:type="character" w:customStyle="1" w:styleId="BalloonTextChar">
    <w:name w:val="Balloon Text Char"/>
    <w:basedOn w:val="DefaultParagraphFont"/>
    <w:link w:val="BalloonText"/>
    <w:rsid w:val="000100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0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00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0AF"/>
    <w:rPr>
      <w:b/>
      <w:color w:val="660033"/>
      <w:spacing w:val="0"/>
    </w:rPr>
  </w:style>
  <w:style w:type="paragraph" w:customStyle="1" w:styleId="Nameditemlist">
    <w:name w:val="Named item list"/>
    <w:basedOn w:val="BodyText"/>
    <w:qFormat/>
    <w:rsid w:val="000100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5859</Characters>
  <Application>Microsoft Office Word</Application>
  <DocSecurity>0</DocSecurity>
  <Lines>267</Lines>
  <Paragraphs>153</Paragraphs>
  <ScaleCrop>false</ScaleCrop>
  <Company>Author-it Software Corporation Ltd.</Company>
  <LinksUpToDate>false</LinksUpToDate>
  <CharactersWithSpaces>6729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MSFSL3004 Prepare and install architectural engineered leadlight and stained glass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2016-12-09T03:38:00Z</dcterms:created>
  <dcterms:modified xsi:type="dcterms:W3CDTF">2016-12-09T03:38:00Z</dcterms:modified>
</cp:coreProperties>
</file>