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018" w:rsidP="00EA4018">
      <w:pPr>
        <w:pStyle w:val="Title"/>
      </w:pPr>
      <w:r>
        <w:fldChar w:fldCharType="begin"/>
      </w:r>
      <w:r>
        <w:instrText xml:space="preserve"> TITLE   \* MERGEFORMAT </w:instrText>
      </w:r>
      <w:r>
        <w:fldChar w:fldCharType="separate"/>
      </w:r>
      <w:r>
        <w:t>MSFSL3002 Protect stained glass and leadlighting</w:t>
      </w:r>
      <w:r>
        <w:fldChar w:fldCharType="end"/>
      </w:r>
    </w:p>
    <w:p w:rsidR="00EA4018" w:rsidP="00EA4018">
      <w:pPr>
        <w:pStyle w:val="Version"/>
        <w:sectPr w:rsidSect="00AD4D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D26" w:rsidP="00AD4D26">
      <w:pPr>
        <w:pStyle w:val="SuperHeading"/>
      </w:pPr>
      <w:r w:rsidRPr="00AD4D26">
        <w:t>MSFSL3002 Protect stained glass and leadlighting</w:t>
      </w:r>
    </w:p>
    <w:p w:rsidR="00000000" w:rsidRPr="00AD4D26" w:rsidP="00AD4D26">
      <w:pPr>
        <w:pStyle w:val="Heading1"/>
      </w:pPr>
      <w:bookmarkStart w:id="1" w:name="O_621369"/>
      <w:bookmarkEnd w:id="1"/>
      <w:r w:rsidRPr="00AD4D26">
        <w:t>Modification History</w:t>
      </w:r>
    </w:p>
    <w:p w:rsidR="00000000" w:rsidRPr="00AD4D26" w:rsidP="00AD4D26">
      <w:pPr>
        <w:pStyle w:val="BodyText"/>
      </w:pPr>
      <w:r w:rsidRPr="00AD4D26">
        <w:t>Release 1 - New unit of competency</w:t>
      </w:r>
    </w:p>
    <w:p w:rsidR="00000000" w:rsidRPr="00AD4D26" w:rsidP="00AD4D26">
      <w:pPr>
        <w:pStyle w:val="AllowPageBreak"/>
      </w:pPr>
    </w:p>
    <w:p w:rsidR="00000000" w:rsidRPr="00AD4D26" w:rsidP="00AD4D26">
      <w:pPr>
        <w:pStyle w:val="Heading1"/>
      </w:pPr>
      <w:bookmarkStart w:id="2" w:name="O_621370"/>
      <w:bookmarkEnd w:id="2"/>
      <w:r w:rsidRPr="00AD4D26">
        <w:t>Application</w:t>
      </w:r>
    </w:p>
    <w:p w:rsidR="00000000" w:rsidRPr="00AD4D26" w:rsidP="00AD4D26">
      <w:pPr>
        <w:pStyle w:val="BodyText"/>
      </w:pPr>
      <w:r w:rsidRPr="00AD4D26">
        <w:t>This unit of competency covers protecting stained glass and leadlighting for security, environmental and heritage purposes.</w:t>
      </w:r>
    </w:p>
    <w:p w:rsidR="00000000" w:rsidRPr="00AD4D26" w:rsidP="00AD4D26">
      <w:pPr>
        <w:pStyle w:val="BodyText"/>
      </w:pPr>
    </w:p>
    <w:p w:rsidR="00000000" w:rsidRPr="00AD4D26" w:rsidP="00AD4D26">
      <w:pPr>
        <w:pStyle w:val="BodyText"/>
      </w:pPr>
      <w:r w:rsidRPr="00AD4D26">
        <w:t>No licensing, legislative or certification req</w:t>
      </w:r>
      <w:r w:rsidRPr="00AD4D26">
        <w:t>uirements apply to this unit at the time of publication.</w:t>
      </w:r>
    </w:p>
    <w:p w:rsidR="00000000" w:rsidRPr="00AD4D26" w:rsidP="00AD4D26">
      <w:pPr>
        <w:pStyle w:val="AllowPageBreak"/>
      </w:pPr>
    </w:p>
    <w:p w:rsidR="00000000" w:rsidRPr="00AD4D26" w:rsidP="00AD4D26">
      <w:pPr>
        <w:pStyle w:val="Heading1"/>
      </w:pPr>
      <w:bookmarkStart w:id="3" w:name="O_621371"/>
      <w:bookmarkEnd w:id="3"/>
      <w:r w:rsidRPr="00AD4D26">
        <w:t>Pre-requisite Unit</w:t>
      </w:r>
    </w:p>
    <w:p w:rsidR="00000000" w:rsidRPr="00AD4D26" w:rsidP="00AD4D26">
      <w:pPr>
        <w:pStyle w:val="Heading1"/>
      </w:pPr>
      <w:bookmarkStart w:id="4" w:name="O_621372"/>
      <w:bookmarkEnd w:id="4"/>
      <w:r w:rsidRPr="00AD4D26">
        <w:t>Competency Field</w:t>
      </w:r>
    </w:p>
    <w:p w:rsidR="00000000" w:rsidRPr="00AD4D26" w:rsidP="00AD4D26">
      <w:pPr>
        <w:pStyle w:val="Heading1"/>
      </w:pPr>
      <w:bookmarkStart w:id="5" w:name="O_621373"/>
      <w:bookmarkEnd w:id="5"/>
      <w:r w:rsidRPr="00AD4D26">
        <w:t>Unit Sector</w:t>
      </w:r>
    </w:p>
    <w:p w:rsidR="00000000" w:rsidRPr="00AD4D26" w:rsidP="00AD4D26">
      <w:pPr>
        <w:pStyle w:val="BodyText"/>
      </w:pPr>
      <w:r w:rsidRPr="00AD4D26">
        <w:t>Leadlight and Stained Glass</w:t>
      </w:r>
    </w:p>
    <w:p w:rsidR="00000000" w:rsidRPr="00AD4D26" w:rsidP="00AD4D26">
      <w:pPr>
        <w:pStyle w:val="AllowPageBreak"/>
      </w:pPr>
    </w:p>
    <w:p w:rsidR="00000000" w:rsidRPr="00AD4D26" w:rsidP="00AD4D26">
      <w:pPr>
        <w:pStyle w:val="Heading1"/>
      </w:pPr>
      <w:bookmarkStart w:id="6" w:name="O_621374"/>
      <w:bookmarkEnd w:id="6"/>
      <w:r w:rsidRPr="00AD4D26">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AD4D2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Elements describe the e</w:t>
            </w:r>
            <w:r w:rsidRPr="00AD4D26">
              <w:t>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Performance criteria describe the performance needed to demonstrate achievement of the element.</w:t>
            </w:r>
          </w:p>
        </w:tc>
      </w:tr>
      <w:tr w:rsidTr="00AD4D2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1</w:t>
            </w:r>
          </w:p>
        </w:tc>
        <w:tc>
          <w:tcPr>
            <w:tcW w:w="2185"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Identify protection requirements</w:t>
            </w:r>
          </w:p>
        </w:tc>
        <w:tc>
          <w:tcPr>
            <w:tcW w:w="683"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1.1</w:t>
            </w:r>
          </w:p>
        </w:tc>
        <w:tc>
          <w:tcPr>
            <w:tcW w:w="5844"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Appl</w:t>
            </w:r>
            <w:r w:rsidRPr="00AD4D26">
              <w:t>icable work health and safety (WHS), legislative and organisational requirements relevant to leadlight and stained glass operations are verified and complied with</w:t>
            </w:r>
          </w:p>
        </w:tc>
      </w:tr>
      <w:tr w:rsidTr="00AD4D2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1.2</w:t>
            </w:r>
          </w:p>
        </w:tc>
        <w:tc>
          <w:tcPr>
            <w:tcW w:w="5844"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The process for achieving protection of stained glass and leadlighting is identified</w:t>
            </w:r>
          </w:p>
        </w:tc>
      </w:tr>
      <w:tr w:rsidTr="00AD4D2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1.3</w:t>
            </w:r>
          </w:p>
        </w:tc>
        <w:tc>
          <w:tcPr>
            <w:tcW w:w="5844"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 xml:space="preserve">Types and quantities of materials required for the protection of stained glass and leadlighting are identified from plans or work instructions </w:t>
            </w:r>
          </w:p>
        </w:tc>
      </w:tr>
      <w:tr w:rsidTr="00AD4D2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2</w:t>
            </w:r>
          </w:p>
        </w:tc>
        <w:tc>
          <w:tcPr>
            <w:tcW w:w="2185" w:type="dxa"/>
            <w:vMerge w:val="restart"/>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Prepare to protect stained glass and leadlighting</w:t>
            </w:r>
          </w:p>
        </w:tc>
        <w:tc>
          <w:tcPr>
            <w:tcW w:w="683"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2.1</w:t>
            </w:r>
          </w:p>
        </w:tc>
        <w:tc>
          <w:tcPr>
            <w:tcW w:w="5844"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Work sequence is determined in a logical order to suit the job</w:t>
            </w:r>
          </w:p>
        </w:tc>
      </w:tr>
      <w:tr w:rsidTr="00AD4D2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2.2</w:t>
            </w:r>
          </w:p>
        </w:tc>
        <w:tc>
          <w:tcPr>
            <w:tcW w:w="5844"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Tools, equipment and materials are selected and checked prior to use to ensure they are appropriate for the work, serviceable and in a safe condition</w:t>
            </w:r>
          </w:p>
        </w:tc>
      </w:tr>
      <w:tr w:rsidTr="00AD4D2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3</w:t>
            </w:r>
          </w:p>
        </w:tc>
        <w:tc>
          <w:tcPr>
            <w:tcW w:w="2185"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Install protection</w:t>
            </w:r>
          </w:p>
        </w:tc>
        <w:tc>
          <w:tcPr>
            <w:tcW w:w="683"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3.1</w:t>
            </w:r>
          </w:p>
        </w:tc>
        <w:tc>
          <w:tcPr>
            <w:tcW w:w="5844"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Protection materials are cut, shaped and formed to ensure correct size and application</w:t>
            </w:r>
          </w:p>
        </w:tc>
      </w:tr>
      <w:tr w:rsidTr="00AD4D2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3.2</w:t>
            </w:r>
          </w:p>
        </w:tc>
        <w:tc>
          <w:tcPr>
            <w:tcW w:w="5844"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Protection materials are installed or fitted</w:t>
            </w:r>
          </w:p>
        </w:tc>
      </w:tr>
      <w:tr w:rsidTr="00AD4D2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3.3</w:t>
            </w:r>
          </w:p>
        </w:tc>
        <w:tc>
          <w:tcPr>
            <w:tcW w:w="5844"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Problems occurring during the operation are identified and rectified</w:t>
            </w:r>
          </w:p>
        </w:tc>
      </w:tr>
      <w:tr w:rsidTr="00AD4D2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4</w:t>
            </w:r>
          </w:p>
        </w:tc>
        <w:tc>
          <w:tcPr>
            <w:tcW w:w="2185"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Finalise the protection process</w:t>
            </w:r>
          </w:p>
        </w:tc>
        <w:tc>
          <w:tcPr>
            <w:tcW w:w="683"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4.1</w:t>
            </w:r>
          </w:p>
        </w:tc>
        <w:tc>
          <w:tcPr>
            <w:tcW w:w="5844"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 xml:space="preserve">Protected glass is inspected for quality of work and repaired, as required </w:t>
            </w:r>
          </w:p>
        </w:tc>
      </w:tr>
      <w:tr w:rsidTr="00AD4D2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4.2</w:t>
            </w:r>
          </w:p>
        </w:tc>
        <w:tc>
          <w:tcPr>
            <w:tcW w:w="5844"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Waste and scrap material are removed for disposal or recycling, as required</w:t>
            </w:r>
          </w:p>
        </w:tc>
      </w:tr>
      <w:tr w:rsidTr="00AD4D2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4.3</w:t>
            </w:r>
          </w:p>
        </w:tc>
        <w:tc>
          <w:tcPr>
            <w:tcW w:w="5844"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Work area is cleaned and rubbish disposed of, as appropriate</w:t>
            </w:r>
          </w:p>
        </w:tc>
      </w:tr>
      <w:tr w:rsidTr="00AD4D2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4.4</w:t>
            </w:r>
          </w:p>
        </w:tc>
        <w:tc>
          <w:tcPr>
            <w:tcW w:w="5844"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Tools, equipment and u</w:t>
            </w:r>
            <w:r w:rsidRPr="00AD4D26">
              <w:t>nused materials are cleaned, removed and stored appropriately</w:t>
            </w:r>
          </w:p>
        </w:tc>
      </w:tr>
      <w:tr w:rsidTr="00AD4D2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4.5</w:t>
            </w:r>
          </w:p>
        </w:tc>
        <w:tc>
          <w:tcPr>
            <w:tcW w:w="5844" w:type="dxa"/>
            <w:tcBorders>
              <w:top w:val="nil"/>
              <w:left w:val="nil"/>
              <w:bottom w:val="nil"/>
              <w:right w:val="nil"/>
            </w:tcBorders>
            <w:tcMar>
              <w:top w:w="0" w:type="dxa"/>
              <w:left w:w="62" w:type="dxa"/>
              <w:bottom w:w="0" w:type="dxa"/>
              <w:right w:w="62" w:type="dxa"/>
            </w:tcMar>
          </w:tcPr>
          <w:p w:rsidR="00000000" w:rsidRPr="00AD4D26" w:rsidP="00AD4D26">
            <w:pPr>
              <w:pStyle w:val="BodyText"/>
            </w:pPr>
            <w:r w:rsidRPr="00AD4D26">
              <w:t>Workplace records are maintained according to workplace procedures</w:t>
            </w:r>
          </w:p>
        </w:tc>
      </w:tr>
    </w:tbl>
    <w:p w:rsidR="00000000" w:rsidRPr="00AD4D26" w:rsidP="00AD4D26">
      <w:pPr>
        <w:pStyle w:val="BodyText"/>
      </w:pPr>
    </w:p>
    <w:p w:rsidR="00000000" w:rsidRPr="00AD4D26" w:rsidP="00AD4D26">
      <w:pPr>
        <w:pStyle w:val="AllowPageBreak"/>
      </w:pPr>
    </w:p>
    <w:p w:rsidR="00000000" w:rsidRPr="00AD4D26" w:rsidP="00AD4D26">
      <w:pPr>
        <w:pStyle w:val="Heading1"/>
      </w:pPr>
      <w:bookmarkStart w:id="7" w:name="O_621375"/>
      <w:bookmarkEnd w:id="7"/>
      <w:r w:rsidRPr="00AD4D26">
        <w:t>Foundation Skills</w:t>
      </w:r>
    </w:p>
    <w:p w:rsidR="00000000" w:rsidRPr="00AD4D26" w:rsidP="00AD4D26">
      <w:pPr>
        <w:pStyle w:val="BodyText"/>
      </w:pPr>
      <w:r w:rsidRPr="00AD4D26">
        <w:t>Foundation skills essential to performance are explicit in the performance criteria of this unit of competency. Detail on appropriate performance levels for each furnishing unit of competency in reading, writing, oral communication and numeracy utilising t</w:t>
      </w:r>
      <w:r w:rsidRPr="00AD4D26">
        <w:t>he Australian Core Skills Framework (ACSF) are provided in the Furnishing Training Package Implementation Guide.</w:t>
      </w:r>
    </w:p>
    <w:p w:rsidR="00000000" w:rsidRPr="00AD4D26" w:rsidP="00AD4D26">
      <w:pPr>
        <w:pStyle w:val="AllowPageBreak"/>
      </w:pPr>
    </w:p>
    <w:p w:rsidR="00000000" w:rsidRPr="00AD4D26" w:rsidP="00AD4D26">
      <w:pPr>
        <w:pStyle w:val="Heading1"/>
      </w:pPr>
      <w:bookmarkStart w:id="8" w:name="O_621376"/>
      <w:bookmarkEnd w:id="8"/>
      <w:r w:rsidRPr="00AD4D26">
        <w:t>Range of Conditions</w:t>
      </w:r>
    </w:p>
    <w:tbl>
      <w:tblPr>
        <w:tblW w:w="0" w:type="auto"/>
        <w:tblLayout w:type="fixed"/>
        <w:tblCellMar>
          <w:left w:w="62" w:type="dxa"/>
          <w:right w:w="62" w:type="dxa"/>
        </w:tblCellMar>
        <w:tblLook w:val="0000"/>
      </w:tblPr>
      <w:tblGrid>
        <w:gridCol w:w="2760"/>
        <w:gridCol w:w="6312"/>
      </w:tblGrid>
      <w:tr w:rsidTr="00AD4D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t>Specifies different work environments and conditions that may affect performance. Essential operating cond</w:t>
            </w:r>
            <w:r w:rsidRPr="00AD4D26">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AD4D26">
              <w:t>to the work environment.</w:t>
            </w:r>
          </w:p>
        </w:tc>
      </w:tr>
      <w:tr w:rsidTr="00AD4D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D4D26" w:rsidP="00AD4D26">
            <w:pPr>
              <w:pStyle w:val="ListBullet"/>
            </w:pPr>
            <w:r w:rsidRPr="00AD4D26">
              <w:t xml:space="preserve">WHS requirements, including legislation, building codes, material safety management systems, hazardous and dangerous goods codes, and local safe operating procedures or equivalent </w:t>
            </w:r>
          </w:p>
          <w:p w:rsidR="00000000" w:rsidRPr="00AD4D26" w:rsidP="00AD4D26">
            <w:pPr>
              <w:pStyle w:val="ListBullet"/>
            </w:pPr>
            <w:r w:rsidRPr="00AD4D26">
              <w:t>work is carried out in accordance with legislative obligations, environmental legislation, relevant health regulations, manual handling procedures and organisation insurance requirements</w:t>
            </w:r>
          </w:p>
          <w:p w:rsidR="00000000" w:rsidP="00AD4D26">
            <w:pPr>
              <w:pStyle w:val="ListBullet"/>
              <w:rPr>
                <w:lang w:val="en-NZ"/>
              </w:rPr>
            </w:pPr>
            <w:r w:rsidRPr="00AD4D26">
              <w:t>work requires individuals to demonstrate some discretion, judgement a</w:t>
            </w:r>
            <w:r w:rsidRPr="00AD4D26">
              <w:t xml:space="preserve">nd problem solving </w:t>
            </w:r>
          </w:p>
        </w:tc>
      </w:tr>
      <w:tr w:rsidTr="00AD4D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rPr>
                <w:rStyle w:val="SpecialBold"/>
              </w:rPr>
              <w:t>Protection includes:</w:t>
            </w:r>
          </w:p>
        </w:tc>
        <w:tc>
          <w:tcPr>
            <w:tcW w:w="6312" w:type="dxa"/>
            <w:tcBorders>
              <w:top w:val="nil"/>
              <w:left w:val="nil"/>
              <w:bottom w:val="nil"/>
              <w:right w:val="nil"/>
            </w:tcBorders>
            <w:tcMar>
              <w:top w:w="0" w:type="dxa"/>
              <w:left w:w="62" w:type="dxa"/>
              <w:bottom w:w="0" w:type="dxa"/>
              <w:right w:w="62" w:type="dxa"/>
            </w:tcMar>
          </w:tcPr>
          <w:p w:rsidR="00000000" w:rsidRPr="00AD4D26" w:rsidP="00AD4D26">
            <w:pPr>
              <w:pStyle w:val="ListBullet"/>
            </w:pPr>
            <w:r w:rsidRPr="00AD4D26">
              <w:t>the requirement for security, protection from vandalism, protection for environmental reasons and protection for heritage reasons</w:t>
            </w:r>
          </w:p>
          <w:p w:rsidR="00000000" w:rsidRPr="00AD4D26" w:rsidP="00AD4D26">
            <w:pPr>
              <w:pStyle w:val="ListBullet"/>
            </w:pPr>
            <w:r w:rsidRPr="00AD4D26">
              <w:t xml:space="preserve">use of protective films, wire barriers, synthetic (plastic) sheets, double glazing </w:t>
            </w:r>
            <w:r w:rsidRPr="00AD4D26">
              <w:t>and other glass panelling</w:t>
            </w:r>
          </w:p>
          <w:p w:rsidR="00000000" w:rsidP="00AD4D26">
            <w:pPr>
              <w:pStyle w:val="ListBullet"/>
              <w:rPr>
                <w:lang w:val="en-NZ"/>
              </w:rPr>
            </w:pPr>
            <w:r w:rsidRPr="00AD4D26">
              <w:t>limitations due to aesthetic reasons</w:t>
            </w:r>
          </w:p>
        </w:tc>
      </w:tr>
      <w:tr w:rsidTr="00AD4D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D4D26" w:rsidP="00AD4D26">
            <w:pPr>
              <w:pStyle w:val="ListBullet"/>
            </w:pPr>
            <w:r w:rsidRPr="00AD4D26">
              <w:t xml:space="preserve">protective film </w:t>
            </w:r>
          </w:p>
          <w:p w:rsidR="00000000" w:rsidRPr="00AD4D26" w:rsidP="00AD4D26">
            <w:pPr>
              <w:pStyle w:val="ListBullet"/>
            </w:pPr>
            <w:r w:rsidRPr="00AD4D26">
              <w:t>wire meshing</w:t>
            </w:r>
          </w:p>
          <w:p w:rsidR="00000000" w:rsidRPr="00AD4D26" w:rsidP="00AD4D26">
            <w:pPr>
              <w:pStyle w:val="ListBullet"/>
            </w:pPr>
            <w:r w:rsidRPr="00AD4D26">
              <w:t xml:space="preserve">synthetic (plastic) sheet </w:t>
            </w:r>
          </w:p>
          <w:p w:rsidR="00000000" w:rsidRPr="00AD4D26" w:rsidP="00AD4D26">
            <w:pPr>
              <w:pStyle w:val="ListBullet"/>
            </w:pPr>
            <w:r w:rsidRPr="00AD4D26">
              <w:t xml:space="preserve">double glazed panels </w:t>
            </w:r>
          </w:p>
          <w:p w:rsidR="00000000" w:rsidRPr="00AD4D26" w:rsidP="00AD4D26">
            <w:pPr>
              <w:pStyle w:val="ListBullet"/>
            </w:pPr>
            <w:r w:rsidRPr="00AD4D26">
              <w:t xml:space="preserve">armoured glass </w:t>
            </w:r>
          </w:p>
          <w:p w:rsidR="00000000" w:rsidP="00AD4D26">
            <w:pPr>
              <w:pStyle w:val="ListBullet"/>
              <w:rPr>
                <w:lang w:val="en-NZ"/>
              </w:rPr>
            </w:pPr>
            <w:r w:rsidRPr="00AD4D26">
              <w:t>materials required to apply or install these</w:t>
            </w:r>
          </w:p>
        </w:tc>
      </w:tr>
      <w:tr w:rsidTr="00AD4D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D4D26" w:rsidP="00AD4D26">
            <w:pPr>
              <w:pStyle w:val="ListBullet"/>
            </w:pPr>
            <w:r w:rsidRPr="00AD4D26">
              <w:t xml:space="preserve">work benches </w:t>
            </w:r>
          </w:p>
          <w:p w:rsidR="00000000" w:rsidRPr="00AD4D26" w:rsidP="00AD4D26">
            <w:pPr>
              <w:pStyle w:val="ListBullet"/>
            </w:pPr>
            <w:r w:rsidRPr="00AD4D26">
              <w:t xml:space="preserve">squeegees and holsters </w:t>
            </w:r>
          </w:p>
          <w:p w:rsidR="00000000" w:rsidRPr="00AD4D26" w:rsidP="00AD4D26">
            <w:pPr>
              <w:pStyle w:val="ListBullet"/>
            </w:pPr>
            <w:r w:rsidRPr="00AD4D26">
              <w:t xml:space="preserve">cutting and glazing tools </w:t>
            </w:r>
          </w:p>
          <w:p w:rsidR="00000000" w:rsidRPr="00AD4D26" w:rsidP="00AD4D26">
            <w:pPr>
              <w:pStyle w:val="ListBullet"/>
            </w:pPr>
            <w:r w:rsidRPr="00AD4D26">
              <w:t xml:space="preserve">electric and pneumatic portable power tools </w:t>
            </w:r>
          </w:p>
          <w:p w:rsidR="00000000" w:rsidRPr="00AD4D26" w:rsidP="00AD4D26">
            <w:pPr>
              <w:pStyle w:val="ListBullet"/>
            </w:pPr>
            <w:r w:rsidRPr="00AD4D26">
              <w:t xml:space="preserve">saws </w:t>
            </w:r>
          </w:p>
          <w:p w:rsidR="00000000" w:rsidRPr="00AD4D26" w:rsidP="00AD4D26">
            <w:pPr>
              <w:pStyle w:val="ListBullet"/>
            </w:pPr>
            <w:r w:rsidRPr="00AD4D26">
              <w:t xml:space="preserve">drills </w:t>
            </w:r>
          </w:p>
          <w:p w:rsidR="00000000" w:rsidRPr="00AD4D26" w:rsidP="00AD4D26">
            <w:pPr>
              <w:pStyle w:val="ListBullet"/>
            </w:pPr>
            <w:r w:rsidRPr="00AD4D26">
              <w:t xml:space="preserve">portable compressors </w:t>
            </w:r>
          </w:p>
          <w:p w:rsidR="00000000" w:rsidP="00AD4D26">
            <w:pPr>
              <w:pStyle w:val="ListBullet"/>
              <w:rPr>
                <w:lang w:val="en-NZ"/>
              </w:rPr>
            </w:pPr>
            <w:r w:rsidRPr="00AD4D26">
              <w:t>general hand tools</w:t>
            </w:r>
          </w:p>
        </w:tc>
      </w:tr>
      <w:tr w:rsidTr="00AD4D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rPr>
                <w:rStyle w:val="SpecialBold"/>
              </w:rPr>
              <w:t>Records include:</w:t>
            </w:r>
          </w:p>
        </w:tc>
        <w:tc>
          <w:tcPr>
            <w:tcW w:w="6312" w:type="dxa"/>
            <w:tcBorders>
              <w:top w:val="nil"/>
              <w:left w:val="nil"/>
              <w:bottom w:val="nil"/>
              <w:right w:val="nil"/>
            </w:tcBorders>
            <w:tcMar>
              <w:top w:w="0" w:type="dxa"/>
              <w:left w:w="62" w:type="dxa"/>
              <w:bottom w:w="0" w:type="dxa"/>
              <w:right w:w="62" w:type="dxa"/>
            </w:tcMar>
          </w:tcPr>
          <w:p w:rsidR="00000000" w:rsidRPr="00AD4D26" w:rsidP="00AD4D26">
            <w:pPr>
              <w:pStyle w:val="ListBullet"/>
            </w:pPr>
            <w:r w:rsidRPr="00AD4D26">
              <w:t xml:space="preserve">the product type </w:t>
            </w:r>
          </w:p>
          <w:p w:rsidR="00000000" w:rsidRPr="00AD4D26" w:rsidP="00AD4D26">
            <w:pPr>
              <w:pStyle w:val="ListBullet"/>
            </w:pPr>
            <w:r w:rsidRPr="00AD4D26">
              <w:t>size</w:t>
            </w:r>
          </w:p>
          <w:p w:rsidR="00000000" w:rsidRPr="00AD4D26" w:rsidP="00AD4D26">
            <w:pPr>
              <w:pStyle w:val="ListBullet"/>
            </w:pPr>
            <w:r w:rsidRPr="00AD4D26">
              <w:t xml:space="preserve">inspection </w:t>
            </w:r>
          </w:p>
          <w:p w:rsidR="00000000" w:rsidRPr="00AD4D26" w:rsidP="00AD4D26">
            <w:pPr>
              <w:pStyle w:val="ListBullet"/>
            </w:pPr>
            <w:r w:rsidRPr="00AD4D26">
              <w:t xml:space="preserve">inspection outcomes </w:t>
            </w:r>
          </w:p>
          <w:p w:rsidR="00000000" w:rsidRPr="00AD4D26" w:rsidP="00AD4D26">
            <w:pPr>
              <w:pStyle w:val="ListBullet"/>
            </w:pPr>
            <w:r w:rsidRPr="00AD4D26">
              <w:t xml:space="preserve">quality outcomes </w:t>
            </w:r>
          </w:p>
          <w:p w:rsidR="00000000" w:rsidP="00AD4D26">
            <w:pPr>
              <w:pStyle w:val="ListBullet"/>
              <w:rPr>
                <w:lang w:val="en-NZ"/>
              </w:rPr>
            </w:pPr>
            <w:r w:rsidRPr="00AD4D26">
              <w:t>storage locations</w:t>
            </w:r>
          </w:p>
        </w:tc>
      </w:tr>
      <w:tr w:rsidTr="00AD4D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D4D26" w:rsidP="00AD4D26">
            <w:pPr>
              <w:pStyle w:val="BodyText"/>
            </w:pPr>
            <w:r w:rsidRPr="00AD4D26">
              <w:rPr>
                <w:rStyle w:val="SpecialBold"/>
              </w:rPr>
              <w:t>Personal protective equipment includes:</w:t>
            </w:r>
          </w:p>
          <w:p w:rsidR="00000000" w:rsidP="00AD4D2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D4D26" w:rsidP="00AD4D26">
            <w:pPr>
              <w:pStyle w:val="ListBullet"/>
            </w:pPr>
            <w:r w:rsidRPr="00AD4D26">
              <w:t>that prescribed under legislation, regulation and enterprise policies and practices:</w:t>
            </w:r>
          </w:p>
          <w:p w:rsidR="00000000" w:rsidRPr="00AD4D26" w:rsidP="00AD4D26">
            <w:pPr>
              <w:pStyle w:val="ListBullet2"/>
            </w:pPr>
            <w:r w:rsidRPr="00AD4D26">
              <w:t>gauntlets</w:t>
            </w:r>
          </w:p>
          <w:p w:rsidR="00000000" w:rsidRPr="00AD4D26" w:rsidP="00AD4D26">
            <w:pPr>
              <w:pStyle w:val="ListBullet2"/>
            </w:pPr>
            <w:r w:rsidRPr="00AD4D26">
              <w:t>gloves</w:t>
            </w:r>
          </w:p>
          <w:p w:rsidR="00000000" w:rsidRPr="00AD4D26" w:rsidP="00AD4D26">
            <w:pPr>
              <w:pStyle w:val="ListBullet2"/>
            </w:pPr>
            <w:r w:rsidRPr="00AD4D26">
              <w:t>safety glasses</w:t>
            </w:r>
          </w:p>
          <w:p w:rsidR="00000000" w:rsidRPr="00AD4D26" w:rsidP="00AD4D26">
            <w:pPr>
              <w:pStyle w:val="ListBullet2"/>
            </w:pPr>
            <w:r w:rsidRPr="00AD4D26">
              <w:t>hard hats</w:t>
            </w:r>
          </w:p>
          <w:p w:rsidR="00000000" w:rsidRPr="00AD4D26" w:rsidP="00AD4D26">
            <w:pPr>
              <w:pStyle w:val="ListBullet2"/>
            </w:pPr>
            <w:r w:rsidRPr="00AD4D26">
              <w:t>safety footwear</w:t>
            </w:r>
          </w:p>
          <w:p w:rsidR="00000000" w:rsidP="00AD4D26">
            <w:pPr>
              <w:pStyle w:val="ListBullet2"/>
              <w:rPr>
                <w:lang w:val="en-NZ"/>
              </w:rPr>
            </w:pPr>
            <w:r w:rsidRPr="00AD4D26">
              <w:t>aprons and overalls</w:t>
            </w:r>
          </w:p>
        </w:tc>
      </w:tr>
      <w:tr w:rsidTr="00AD4D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D4D26">
            <w:pPr>
              <w:pStyle w:val="BodyText"/>
              <w:rPr>
                <w:lang w:val="en-NZ"/>
              </w:rPr>
            </w:pPr>
            <w:r w:rsidRPr="00AD4D2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D4D26" w:rsidP="00AD4D26">
            <w:pPr>
              <w:pStyle w:val="ListBullet"/>
            </w:pPr>
            <w:r w:rsidRPr="00AD4D26">
              <w:t xml:space="preserve">workplace procedures relating to the use of tools and equipment and personal protective equipment </w:t>
            </w:r>
          </w:p>
          <w:p w:rsidR="00000000" w:rsidRPr="00AD4D26" w:rsidP="00AD4D26">
            <w:pPr>
              <w:pStyle w:val="ListBullet"/>
            </w:pPr>
            <w:r w:rsidRPr="00AD4D26">
              <w:t xml:space="preserve">work instructions, including job sheets, cutting lists, plans, drawings and designs </w:t>
            </w:r>
          </w:p>
          <w:p w:rsidR="00000000" w:rsidRPr="00AD4D26" w:rsidP="00AD4D26">
            <w:pPr>
              <w:pStyle w:val="ListBullet"/>
            </w:pPr>
            <w:r w:rsidRPr="00AD4D26">
              <w:t xml:space="preserve">workplace procedures relating to reporting and communication </w:t>
            </w:r>
          </w:p>
          <w:p w:rsidR="00000000" w:rsidRPr="00AD4D26" w:rsidP="00AD4D26">
            <w:pPr>
              <w:pStyle w:val="ListBullet"/>
            </w:pPr>
            <w:r w:rsidRPr="00AD4D26">
              <w:t>manufacturer specifications and operational procedures</w:t>
            </w:r>
          </w:p>
        </w:tc>
      </w:tr>
    </w:tbl>
    <w:p w:rsidR="00000000" w:rsidRPr="00AD4D26" w:rsidP="00AD4D26">
      <w:pPr>
        <w:pStyle w:val="BodyText"/>
      </w:pPr>
    </w:p>
    <w:p w:rsidR="00000000" w:rsidRPr="00AD4D26" w:rsidP="00AD4D26">
      <w:pPr>
        <w:pStyle w:val="AllowPageBreak"/>
      </w:pPr>
    </w:p>
    <w:p w:rsidR="00000000" w:rsidRPr="00AD4D26" w:rsidP="00AD4D26">
      <w:pPr>
        <w:pStyle w:val="Heading1"/>
      </w:pPr>
      <w:bookmarkStart w:id="9" w:name="O_621377"/>
      <w:bookmarkEnd w:id="9"/>
      <w:r w:rsidRPr="00AD4D26">
        <w:t>Unit Mapping Information</w:t>
      </w:r>
    </w:p>
    <w:p w:rsidR="00000000" w:rsidRPr="00AD4D26" w:rsidP="00AD4D26">
      <w:pPr>
        <w:pStyle w:val="BodyText"/>
      </w:pPr>
      <w:r w:rsidRPr="00AD4D26">
        <w:t>Supersedes and is equivalent to LMFSL3004B Protect stained glass and leadlighting.</w:t>
      </w:r>
    </w:p>
    <w:p w:rsidR="00000000" w:rsidRPr="00AD4D26" w:rsidP="00AD4D26">
      <w:pPr>
        <w:pStyle w:val="AllowPageBreak"/>
      </w:pPr>
    </w:p>
    <w:p w:rsidR="00000000" w:rsidRPr="00AD4D26" w:rsidP="00AD4D26">
      <w:pPr>
        <w:pStyle w:val="Heading1"/>
      </w:pPr>
      <w:bookmarkStart w:id="10" w:name="O_621384"/>
      <w:bookmarkEnd w:id="10"/>
      <w:r w:rsidRPr="00AD4D26">
        <w:t>Links</w:t>
      </w:r>
    </w:p>
    <w:p w:rsidR="00000000" w:rsidRPr="00AD4D26" w:rsidP="00AD4D26">
      <w:pPr>
        <w:pStyle w:val="BodyText"/>
      </w:pPr>
      <w:r w:rsidRPr="00AD4D26">
        <w:t>Companion Volume implementation guides are found in VETNet - https://vetnet.education.gov.au/Pages/TrainingDocs.aspx?q=0601ab95-583a-4e93-b2d4-cfb27b03ed73</w:t>
      </w:r>
    </w:p>
    <w:p w:rsidR="00000000" w:rsidRPr="00AD4D26" w:rsidP="00AD4D26"/>
    <w:sectPr w:rsidSect="00AD4D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D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D26" w:rsidRPr="00EA4018" w:rsidP="00EA40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D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18" w:rsidP="00AD4D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A4018" w:rsidP="00AD4D2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A4018" w:rsidP="00AD4D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D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4D26" w:rsidRPr="00EA4018" w:rsidP="00EA40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D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18" w:rsidRPr="002D2AF8" w:rsidP="00AD4D26">
    <w:pPr>
      <w:pStyle w:val="Header"/>
      <w:framePr w:wrap="around"/>
    </w:pPr>
    <w:r>
      <w:fldChar w:fldCharType="begin"/>
    </w:r>
    <w:r>
      <w:instrText xml:space="preserve"> TITLE   \* MERGEFORMAT </w:instrText>
    </w:r>
    <w:r>
      <w:fldChar w:fldCharType="separate"/>
    </w:r>
    <w:r>
      <w:t>MSFSL3002 Protect stained glass and leadlighting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EA4018" w:rsidP="00AD4D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0AB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7485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2C9C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D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D26"/>
    <w:pPr>
      <w:spacing w:before="360" w:after="60"/>
      <w:outlineLvl w:val="0"/>
    </w:pPr>
    <w:rPr>
      <w:sz w:val="32"/>
    </w:rPr>
  </w:style>
  <w:style w:type="paragraph" w:styleId="Heading2">
    <w:name w:val="heading 2"/>
    <w:basedOn w:val="HeadingBase"/>
    <w:next w:val="BodyText"/>
    <w:link w:val="Heading2Char"/>
    <w:qFormat/>
    <w:rsid w:val="00AD4D26"/>
    <w:pPr>
      <w:keepLines/>
      <w:spacing w:before="240" w:after="120"/>
      <w:outlineLvl w:val="1"/>
    </w:pPr>
    <w:rPr>
      <w:sz w:val="28"/>
      <w:szCs w:val="40"/>
    </w:rPr>
  </w:style>
  <w:style w:type="paragraph" w:styleId="Heading3">
    <w:name w:val="heading 3"/>
    <w:basedOn w:val="HeadingBase"/>
    <w:next w:val="BodyText"/>
    <w:link w:val="Heading3Char"/>
    <w:qFormat/>
    <w:rsid w:val="00AD4D26"/>
    <w:pPr>
      <w:spacing w:before="180" w:after="120"/>
      <w:outlineLvl w:val="2"/>
    </w:pPr>
    <w:rPr>
      <w:spacing w:val="-10"/>
      <w:kern w:val="32"/>
    </w:rPr>
  </w:style>
  <w:style w:type="paragraph" w:styleId="Heading4">
    <w:name w:val="heading 4"/>
    <w:basedOn w:val="HeadingBase"/>
    <w:next w:val="BodyText"/>
    <w:link w:val="Heading4Char"/>
    <w:qFormat/>
    <w:rsid w:val="00AD4D26"/>
    <w:pPr>
      <w:spacing w:before="160" w:after="120"/>
      <w:outlineLvl w:val="3"/>
    </w:pPr>
    <w:rPr>
      <w:sz w:val="22"/>
    </w:rPr>
  </w:style>
  <w:style w:type="paragraph" w:styleId="Heading5">
    <w:name w:val="heading 5"/>
    <w:basedOn w:val="HeadingBase"/>
    <w:next w:val="Normal"/>
    <w:link w:val="Heading5Char"/>
    <w:qFormat/>
    <w:rsid w:val="00AD4D26"/>
    <w:pPr>
      <w:spacing w:before="80"/>
      <w:outlineLvl w:val="4"/>
    </w:pPr>
    <w:rPr>
      <w:color w:val="918585"/>
      <w:sz w:val="20"/>
    </w:rPr>
  </w:style>
  <w:style w:type="paragraph" w:styleId="Heading6">
    <w:name w:val="heading 6"/>
    <w:basedOn w:val="HeadingBase"/>
    <w:next w:val="Normal"/>
    <w:link w:val="Heading6Char"/>
    <w:qFormat/>
    <w:rsid w:val="00AD4D26"/>
    <w:pPr>
      <w:spacing w:before="60"/>
      <w:outlineLvl w:val="5"/>
    </w:pPr>
    <w:rPr>
      <w:color w:val="918585"/>
      <w:sz w:val="20"/>
    </w:rPr>
  </w:style>
  <w:style w:type="paragraph" w:styleId="Heading7">
    <w:name w:val="heading 7"/>
    <w:basedOn w:val="Normal"/>
    <w:next w:val="Normal"/>
    <w:link w:val="Heading7Char"/>
    <w:qFormat/>
    <w:rsid w:val="00AD4D26"/>
    <w:pPr>
      <w:ind w:left="720"/>
      <w:outlineLvl w:val="6"/>
    </w:pPr>
    <w:rPr>
      <w:i/>
    </w:rPr>
  </w:style>
  <w:style w:type="paragraph" w:styleId="Heading8">
    <w:name w:val="heading 8"/>
    <w:basedOn w:val="Normal"/>
    <w:next w:val="Normal"/>
    <w:link w:val="Heading8Char"/>
    <w:qFormat/>
    <w:rsid w:val="00AD4D26"/>
    <w:pPr>
      <w:ind w:left="720"/>
      <w:outlineLvl w:val="7"/>
    </w:pPr>
    <w:rPr>
      <w:i/>
    </w:rPr>
  </w:style>
  <w:style w:type="paragraph" w:styleId="Heading9">
    <w:name w:val="heading 9"/>
    <w:basedOn w:val="Normal"/>
    <w:next w:val="Normal"/>
    <w:link w:val="Heading9Char"/>
    <w:qFormat/>
    <w:rsid w:val="00AD4D26"/>
    <w:pPr>
      <w:ind w:left="720"/>
      <w:outlineLvl w:val="8"/>
    </w:pPr>
    <w:rPr>
      <w:i/>
    </w:rPr>
  </w:style>
  <w:style w:type="character" w:default="1" w:styleId="DefaultParagraphFont">
    <w:name w:val="Default Paragraph Font"/>
    <w:uiPriority w:val="1"/>
    <w:unhideWhenUsed/>
    <w:rsid w:val="00AD4D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D26"/>
  </w:style>
  <w:style w:type="character" w:customStyle="1" w:styleId="Heading1Char">
    <w:name w:val="Heading 1 Char"/>
    <w:basedOn w:val="DefaultParagraphFont"/>
    <w:link w:val="Heading1"/>
    <w:rsid w:val="00AD4D26"/>
    <w:rPr>
      <w:rFonts w:ascii="Times New Roman" w:eastAsia="Times New Roman" w:hAnsi="Times New Roman" w:cs="Times New Roman"/>
      <w:b/>
      <w:sz w:val="32"/>
      <w:szCs w:val="20"/>
      <w:lang w:eastAsia="en-US"/>
    </w:rPr>
  </w:style>
  <w:style w:type="paragraph" w:styleId="BodyText">
    <w:name w:val="Body Text"/>
    <w:basedOn w:val="Normal"/>
    <w:link w:val="BodyTextChar"/>
    <w:rsid w:val="00AD4D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4D26"/>
    <w:rPr>
      <w:rFonts w:ascii="Times New Roman" w:eastAsia="Times New Roman" w:hAnsi="Times New Roman" w:cs="Times New Roman"/>
      <w:sz w:val="24"/>
      <w:lang w:eastAsia="en-US"/>
    </w:rPr>
  </w:style>
  <w:style w:type="paragraph" w:styleId="ListBullet">
    <w:name w:val="List Bullet"/>
    <w:basedOn w:val="List"/>
    <w:rsid w:val="00AD4D26"/>
    <w:pPr>
      <w:numPr>
        <w:numId w:val="13"/>
      </w:numPr>
      <w:tabs>
        <w:tab w:val="clear" w:pos="340"/>
      </w:tabs>
      <w:spacing w:before="40" w:after="40"/>
    </w:pPr>
  </w:style>
  <w:style w:type="character" w:customStyle="1" w:styleId="SpecialBold">
    <w:name w:val="Special Bold"/>
    <w:basedOn w:val="DefaultParagraphFont"/>
    <w:rsid w:val="00AD4D26"/>
    <w:rPr>
      <w:b/>
      <w:spacing w:val="0"/>
    </w:rPr>
  </w:style>
  <w:style w:type="paragraph" w:styleId="ListBullet2">
    <w:name w:val="List Bullet 2"/>
    <w:basedOn w:val="List2"/>
    <w:rsid w:val="00AD4D26"/>
    <w:pPr>
      <w:numPr>
        <w:numId w:val="14"/>
      </w:numPr>
      <w:tabs>
        <w:tab w:val="clear" w:pos="680"/>
      </w:tabs>
    </w:pPr>
  </w:style>
  <w:style w:type="paragraph" w:customStyle="1" w:styleId="SuperHeading">
    <w:name w:val="SuperHeading"/>
    <w:basedOn w:val="Normal"/>
    <w:rsid w:val="00AD4D26"/>
    <w:pPr>
      <w:spacing w:before="240" w:after="120"/>
      <w:outlineLvl w:val="0"/>
    </w:pPr>
    <w:rPr>
      <w:rFonts w:ascii="Times New Roman" w:hAnsi="Times New Roman"/>
      <w:b/>
      <w:sz w:val="32"/>
    </w:rPr>
  </w:style>
  <w:style w:type="paragraph" w:customStyle="1" w:styleId="AllowPageBreak">
    <w:name w:val="AllowPageBreak"/>
    <w:rsid w:val="00AD4D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4D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D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D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D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D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D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D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D26"/>
    <w:rPr>
      <w:rFonts w:ascii="Courier New" w:eastAsia="Times New Roman" w:hAnsi="Courier New" w:cs="Times New Roman"/>
      <w:i/>
      <w:szCs w:val="20"/>
      <w:lang w:eastAsia="en-US"/>
    </w:rPr>
  </w:style>
  <w:style w:type="paragraph" w:customStyle="1" w:styleId="HeadingBase">
    <w:name w:val="Heading Base"/>
    <w:rsid w:val="00AD4D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D26"/>
    <w:pPr>
      <w:tabs>
        <w:tab w:val="right" w:leader="dot" w:pos="9072"/>
      </w:tabs>
      <w:ind w:left="567"/>
    </w:pPr>
    <w:rPr>
      <w:szCs w:val="22"/>
    </w:rPr>
  </w:style>
  <w:style w:type="paragraph" w:customStyle="1" w:styleId="TOCBase">
    <w:name w:val="TOC Base"/>
    <w:rsid w:val="00AD4D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D26"/>
    <w:pPr>
      <w:tabs>
        <w:tab w:val="right" w:leader="dot" w:pos="9072"/>
      </w:tabs>
      <w:spacing w:before="40" w:after="40"/>
      <w:ind w:left="284"/>
    </w:pPr>
    <w:rPr>
      <w:rFonts w:ascii="Times New Roman" w:hAnsi="Times New Roman"/>
    </w:rPr>
  </w:style>
  <w:style w:type="paragraph" w:styleId="TOC1">
    <w:name w:val="toc 1"/>
    <w:basedOn w:val="TOCBase"/>
    <w:next w:val="Normal"/>
    <w:rsid w:val="00AD4D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4D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D26"/>
    <w:rPr>
      <w:rFonts w:ascii="Times New Roman" w:eastAsia="Times New Roman" w:hAnsi="Times New Roman" w:cs="Times New Roman"/>
      <w:sz w:val="16"/>
      <w:lang w:eastAsia="en-US"/>
    </w:rPr>
  </w:style>
  <w:style w:type="paragraph" w:styleId="Title">
    <w:name w:val="Title"/>
    <w:basedOn w:val="HeadingBase"/>
    <w:link w:val="TitleChar"/>
    <w:qFormat/>
    <w:rsid w:val="00AD4D26"/>
    <w:pPr>
      <w:spacing w:before="5040"/>
      <w:jc w:val="center"/>
    </w:pPr>
    <w:rPr>
      <w:sz w:val="48"/>
      <w:szCs w:val="72"/>
      <w:lang w:val="en-US"/>
    </w:rPr>
  </w:style>
  <w:style w:type="character" w:customStyle="1" w:styleId="TitleChar">
    <w:name w:val="Title Char"/>
    <w:basedOn w:val="DefaultParagraphFont"/>
    <w:link w:val="Title"/>
    <w:rsid w:val="00AD4D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D26"/>
    <w:pPr>
      <w:tabs>
        <w:tab w:val="left" w:pos="3600"/>
        <w:tab w:val="left" w:pos="3958"/>
      </w:tabs>
    </w:pPr>
  </w:style>
  <w:style w:type="paragraph" w:styleId="List">
    <w:name w:val="List"/>
    <w:basedOn w:val="BodyText"/>
    <w:next w:val="BodyText"/>
    <w:rsid w:val="00AD4D26"/>
    <w:pPr>
      <w:tabs>
        <w:tab w:val="left" w:pos="340"/>
      </w:tabs>
      <w:spacing w:before="60" w:after="60"/>
      <w:ind w:left="340" w:hanging="340"/>
    </w:pPr>
  </w:style>
  <w:style w:type="paragraph" w:customStyle="1" w:styleId="Note">
    <w:name w:val="Note"/>
    <w:basedOn w:val="BodyText"/>
    <w:rsid w:val="00AD4D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D26"/>
    <w:pPr>
      <w:framePr w:wrap="auto" w:hAnchor="text" w:y="6049"/>
    </w:pPr>
    <w:rPr>
      <w:color w:val="000000"/>
      <w:sz w:val="40"/>
    </w:rPr>
  </w:style>
  <w:style w:type="paragraph" w:customStyle="1" w:styleId="TOCTitle">
    <w:name w:val="TOCTitle"/>
    <w:basedOn w:val="Heading1"/>
    <w:rsid w:val="00AD4D26"/>
    <w:pPr>
      <w:spacing w:after="240"/>
      <w:jc w:val="center"/>
      <w:outlineLvl w:val="9"/>
    </w:pPr>
    <w:rPr>
      <w:caps/>
    </w:rPr>
  </w:style>
  <w:style w:type="paragraph" w:customStyle="1" w:styleId="Version">
    <w:name w:val="Version"/>
    <w:rsid w:val="00AD4D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4D26"/>
    <w:pPr>
      <w:keepNext w:val="0"/>
      <w:tabs>
        <w:tab w:val="right" w:pos="4176"/>
      </w:tabs>
      <w:ind w:left="198" w:hanging="198"/>
    </w:pPr>
    <w:rPr>
      <w:rFonts w:ascii="Garamond" w:hAnsi="Garamond"/>
    </w:rPr>
  </w:style>
  <w:style w:type="paragraph" w:styleId="IndexHeading">
    <w:name w:val="index heading"/>
    <w:basedOn w:val="Normal"/>
    <w:next w:val="Index1"/>
    <w:semiHidden/>
    <w:rsid w:val="00AD4D26"/>
    <w:pPr>
      <w:spacing w:before="120" w:after="120"/>
    </w:pPr>
    <w:rPr>
      <w:rFonts w:ascii="Arial" w:hAnsi="Arial"/>
      <w:b/>
      <w:color w:val="918585"/>
      <w:sz w:val="24"/>
    </w:rPr>
  </w:style>
  <w:style w:type="paragraph" w:styleId="Header">
    <w:name w:val="header"/>
    <w:basedOn w:val="Normal"/>
    <w:link w:val="HeaderChar"/>
    <w:rsid w:val="00AD4D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D26"/>
    <w:rPr>
      <w:rFonts w:ascii="Times New Roman" w:eastAsia="Times New Roman" w:hAnsi="Times New Roman" w:cs="Times New Roman"/>
      <w:sz w:val="16"/>
      <w:szCs w:val="20"/>
      <w:lang w:val="en-GB" w:eastAsia="en-US"/>
    </w:rPr>
  </w:style>
  <w:style w:type="paragraph" w:customStyle="1" w:styleId="Chapter">
    <w:name w:val="Chapter"/>
    <w:basedOn w:val="Normal"/>
    <w:rsid w:val="00AD4D26"/>
    <w:pPr>
      <w:spacing w:before="240"/>
    </w:pPr>
    <w:rPr>
      <w:rFonts w:ascii="Times New Roman" w:hAnsi="Times New Roman"/>
      <w:smallCaps/>
      <w:spacing w:val="80"/>
      <w:sz w:val="28"/>
    </w:rPr>
  </w:style>
  <w:style w:type="paragraph" w:customStyle="1" w:styleId="InChapter">
    <w:name w:val="InChapter"/>
    <w:basedOn w:val="Heading3"/>
    <w:rsid w:val="00AD4D26"/>
    <w:pPr>
      <w:spacing w:after="240"/>
      <w:outlineLvl w:val="9"/>
    </w:pPr>
    <w:rPr>
      <w:noProof/>
    </w:rPr>
  </w:style>
  <w:style w:type="paragraph" w:styleId="Index2">
    <w:name w:val="index 2"/>
    <w:basedOn w:val="Normal"/>
    <w:next w:val="Normal"/>
    <w:semiHidden/>
    <w:rsid w:val="00AD4D26"/>
    <w:pPr>
      <w:tabs>
        <w:tab w:val="right" w:pos="4176"/>
      </w:tabs>
      <w:ind w:left="568" w:hanging="284"/>
    </w:pPr>
    <w:rPr>
      <w:rFonts w:ascii="Garamond" w:hAnsi="Garamond"/>
    </w:rPr>
  </w:style>
  <w:style w:type="paragraph" w:customStyle="1" w:styleId="Byline">
    <w:name w:val="Byline"/>
    <w:rsid w:val="00AD4D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D26"/>
    <w:pPr>
      <w:tabs>
        <w:tab w:val="clear" w:pos="3600"/>
        <w:tab w:val="clear" w:pos="3958"/>
      </w:tabs>
      <w:jc w:val="right"/>
    </w:pPr>
  </w:style>
  <w:style w:type="character" w:styleId="Emphasis">
    <w:name w:val="Emphasis"/>
    <w:basedOn w:val="DefaultParagraphFont"/>
    <w:qFormat/>
    <w:rsid w:val="00AD4D26"/>
    <w:rPr>
      <w:i/>
    </w:rPr>
  </w:style>
  <w:style w:type="paragraph" w:styleId="Caption">
    <w:name w:val="caption"/>
    <w:basedOn w:val="BodyText"/>
    <w:next w:val="Normal"/>
    <w:qFormat/>
    <w:rsid w:val="00AD4D26"/>
    <w:pPr>
      <w:framePr w:w="2268" w:hSpace="181" w:vSpace="181" w:wrap="around" w:vAnchor="text" w:hAnchor="page" w:x="1135" w:y="285" w:anchorLock="1"/>
    </w:pPr>
    <w:rPr>
      <w:i/>
    </w:rPr>
  </w:style>
  <w:style w:type="paragraph" w:customStyle="1" w:styleId="MiniTOCTitle">
    <w:name w:val="MiniTOCTitle"/>
    <w:basedOn w:val="Heading4"/>
    <w:rsid w:val="00AD4D26"/>
    <w:pPr>
      <w:spacing w:before="240"/>
      <w:outlineLvl w:val="9"/>
    </w:pPr>
    <w:rPr>
      <w:noProof/>
      <w:sz w:val="24"/>
    </w:rPr>
  </w:style>
  <w:style w:type="paragraph" w:customStyle="1" w:styleId="MiniTOCItem">
    <w:name w:val="MiniTOCItem"/>
    <w:basedOn w:val="ListBullet"/>
    <w:rsid w:val="00AD4D26"/>
    <w:pPr>
      <w:numPr>
        <w:numId w:val="0"/>
      </w:numPr>
      <w:tabs>
        <w:tab w:val="right" w:leader="dot" w:pos="6521"/>
      </w:tabs>
      <w:spacing w:before="0" w:after="0"/>
    </w:pPr>
  </w:style>
  <w:style w:type="paragraph" w:customStyle="1" w:styleId="TOFTitle">
    <w:name w:val="TOFTitle"/>
    <w:basedOn w:val="TOCTitle"/>
    <w:rsid w:val="00AD4D26"/>
  </w:style>
  <w:style w:type="paragraph" w:styleId="TableofFigures">
    <w:name w:val="table of figures"/>
    <w:basedOn w:val="Normal"/>
    <w:next w:val="Normal"/>
    <w:semiHidden/>
    <w:rsid w:val="00AD4D26"/>
    <w:pPr>
      <w:tabs>
        <w:tab w:val="right" w:leader="dot" w:pos="9072"/>
      </w:tabs>
      <w:ind w:left="970" w:hanging="403"/>
    </w:pPr>
    <w:rPr>
      <w:rFonts w:ascii="Times New Roman" w:hAnsi="Times New Roman"/>
      <w:b/>
    </w:rPr>
  </w:style>
  <w:style w:type="paragraph" w:styleId="ListNumber">
    <w:name w:val="List Number"/>
    <w:basedOn w:val="List"/>
    <w:rsid w:val="00AD4D26"/>
    <w:pPr>
      <w:numPr>
        <w:numId w:val="11"/>
      </w:numPr>
    </w:pPr>
  </w:style>
  <w:style w:type="character" w:customStyle="1" w:styleId="WingdingSymbols">
    <w:name w:val="Wingding Symbols"/>
    <w:rsid w:val="00AD4D26"/>
    <w:rPr>
      <w:rFonts w:ascii="Wingdings" w:hAnsi="Wingdings"/>
    </w:rPr>
  </w:style>
  <w:style w:type="paragraph" w:customStyle="1" w:styleId="TableHeading">
    <w:name w:val="Table Heading"/>
    <w:basedOn w:val="HeadingBase"/>
    <w:rsid w:val="00AD4D26"/>
    <w:pPr>
      <w:keepLines/>
      <w:pBdr>
        <w:bottom w:val="single" w:sz="6" w:space="1" w:color="918585"/>
      </w:pBdr>
      <w:spacing w:before="240"/>
    </w:pPr>
  </w:style>
  <w:style w:type="character" w:customStyle="1" w:styleId="HotSpot">
    <w:name w:val="HotSpot"/>
    <w:rsid w:val="00AD4D26"/>
    <w:rPr>
      <w:color w:val="0033CC"/>
      <w:u w:val="none"/>
    </w:rPr>
  </w:style>
  <w:style w:type="paragraph" w:customStyle="1" w:styleId="BodyTextRight">
    <w:name w:val="Body Text Right"/>
    <w:basedOn w:val="BodyText"/>
    <w:rsid w:val="00AD4D26"/>
    <w:pPr>
      <w:spacing w:before="0" w:after="0"/>
      <w:jc w:val="right"/>
    </w:pPr>
  </w:style>
  <w:style w:type="paragraph" w:styleId="Index3">
    <w:name w:val="index 3"/>
    <w:basedOn w:val="ListNumber2"/>
    <w:next w:val="Normal"/>
    <w:semiHidden/>
    <w:rsid w:val="00AD4D26"/>
    <w:pPr>
      <w:numPr>
        <w:numId w:val="0"/>
      </w:numPr>
      <w:tabs>
        <w:tab w:val="right" w:leader="dot" w:pos="4176"/>
      </w:tabs>
    </w:pPr>
  </w:style>
  <w:style w:type="paragraph" w:styleId="ListNumber2">
    <w:name w:val="List Number 2"/>
    <w:basedOn w:val="List2"/>
    <w:rsid w:val="00AD4D26"/>
    <w:pPr>
      <w:numPr>
        <w:numId w:val="10"/>
      </w:numPr>
      <w:tabs>
        <w:tab w:val="clear" w:pos="1060"/>
      </w:tabs>
    </w:pPr>
  </w:style>
  <w:style w:type="paragraph" w:customStyle="1" w:styleId="MarginNote">
    <w:name w:val="Margin Note"/>
    <w:basedOn w:val="BodyText"/>
    <w:rsid w:val="00AD4D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D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D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D26"/>
    <w:rPr>
      <w:sz w:val="32"/>
    </w:rPr>
  </w:style>
  <w:style w:type="paragraph" w:customStyle="1" w:styleId="HeadingProcedure">
    <w:name w:val="Heading Procedure"/>
    <w:basedOn w:val="HeadingBase"/>
    <w:next w:val="Normal"/>
    <w:rsid w:val="00AD4D26"/>
    <w:pPr>
      <w:tabs>
        <w:tab w:val="left" w:pos="0"/>
      </w:tabs>
      <w:spacing w:before="120" w:after="60"/>
    </w:pPr>
    <w:rPr>
      <w:i/>
      <w:color w:val="918585"/>
      <w:sz w:val="22"/>
    </w:rPr>
  </w:style>
  <w:style w:type="paragraph" w:customStyle="1" w:styleId="TableBodyText">
    <w:name w:val="Table Body Text"/>
    <w:basedOn w:val="BodyText"/>
    <w:rsid w:val="00AD4D26"/>
    <w:pPr>
      <w:spacing w:before="60" w:after="60"/>
    </w:pPr>
  </w:style>
  <w:style w:type="paragraph" w:styleId="ListContinue">
    <w:name w:val="List Continue"/>
    <w:basedOn w:val="List"/>
    <w:rsid w:val="00AD4D26"/>
    <w:pPr>
      <w:ind w:firstLine="0"/>
    </w:pPr>
  </w:style>
  <w:style w:type="paragraph" w:customStyle="1" w:styleId="ListNote">
    <w:name w:val="List Note"/>
    <w:basedOn w:val="List"/>
    <w:rsid w:val="00AD4D26"/>
    <w:pPr>
      <w:pBdr>
        <w:top w:val="single" w:sz="6" w:space="2" w:color="918585"/>
        <w:bottom w:val="single" w:sz="6" w:space="2" w:color="918585"/>
      </w:pBdr>
      <w:tabs>
        <w:tab w:val="left" w:pos="1021"/>
      </w:tabs>
      <w:ind w:firstLine="0"/>
    </w:pPr>
  </w:style>
  <w:style w:type="paragraph" w:customStyle="1" w:styleId="Warning">
    <w:name w:val="Warning"/>
    <w:basedOn w:val="BodyText"/>
    <w:rsid w:val="00AD4D26"/>
    <w:pPr>
      <w:shd w:val="clear" w:color="auto" w:fill="D9D9D9"/>
      <w:tabs>
        <w:tab w:val="left" w:pos="992"/>
      </w:tabs>
      <w:ind w:left="119" w:right="119"/>
    </w:pPr>
    <w:rPr>
      <w:sz w:val="20"/>
    </w:rPr>
  </w:style>
  <w:style w:type="paragraph" w:customStyle="1" w:styleId="MarginIcons">
    <w:name w:val="Margin Icons"/>
    <w:basedOn w:val="BodyText"/>
    <w:rsid w:val="00AD4D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D26"/>
    <w:rPr>
      <w:rFonts w:ascii="Courier New" w:hAnsi="Courier New"/>
    </w:rPr>
  </w:style>
  <w:style w:type="paragraph" w:customStyle="1" w:styleId="NoteBullet">
    <w:name w:val="Note Bullet"/>
    <w:basedOn w:val="Note"/>
    <w:rsid w:val="00AD4D26"/>
    <w:pPr>
      <w:tabs>
        <w:tab w:val="clear" w:pos="680"/>
      </w:tabs>
      <w:spacing w:before="60" w:after="60"/>
    </w:pPr>
  </w:style>
  <w:style w:type="paragraph" w:customStyle="1" w:styleId="SubHeading2">
    <w:name w:val="SubHeading2"/>
    <w:basedOn w:val="HeadingBase"/>
    <w:rsid w:val="00AD4D26"/>
    <w:pPr>
      <w:spacing w:before="240" w:after="60"/>
    </w:pPr>
    <w:rPr>
      <w:sz w:val="20"/>
    </w:rPr>
  </w:style>
  <w:style w:type="paragraph" w:customStyle="1" w:styleId="SubHeading1">
    <w:name w:val="SubHeading1"/>
    <w:basedOn w:val="HeadingBase"/>
    <w:rsid w:val="00AD4D26"/>
    <w:pPr>
      <w:spacing w:before="240" w:after="60"/>
    </w:pPr>
    <w:rPr>
      <w:color w:val="918585"/>
      <w:sz w:val="22"/>
    </w:rPr>
  </w:style>
  <w:style w:type="paragraph" w:customStyle="1" w:styleId="SideHeading">
    <w:name w:val="Side Heading"/>
    <w:basedOn w:val="HeadingBase"/>
    <w:rsid w:val="00AD4D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D26"/>
    <w:pPr>
      <w:numPr>
        <w:numId w:val="12"/>
      </w:numPr>
    </w:pPr>
  </w:style>
  <w:style w:type="paragraph" w:styleId="PlainText">
    <w:name w:val="Plain Text"/>
    <w:basedOn w:val="Normal"/>
    <w:link w:val="PlainTextChar"/>
    <w:rsid w:val="00AD4D26"/>
    <w:rPr>
      <w:sz w:val="20"/>
    </w:rPr>
  </w:style>
  <w:style w:type="character" w:customStyle="1" w:styleId="PlainTextChar">
    <w:name w:val="Plain Text Char"/>
    <w:basedOn w:val="DefaultParagraphFont"/>
    <w:link w:val="PlainText"/>
    <w:rsid w:val="00AD4D26"/>
    <w:rPr>
      <w:rFonts w:ascii="Courier New" w:eastAsia="Times New Roman" w:hAnsi="Courier New" w:cs="Times New Roman"/>
      <w:sz w:val="20"/>
      <w:szCs w:val="20"/>
      <w:lang w:eastAsia="en-US"/>
    </w:rPr>
  </w:style>
  <w:style w:type="character" w:customStyle="1" w:styleId="MenuOption">
    <w:name w:val="Menu Option"/>
    <w:basedOn w:val="DefaultParagraphFont"/>
    <w:rsid w:val="00AD4D26"/>
    <w:rPr>
      <w:b/>
      <w:smallCaps/>
    </w:rPr>
  </w:style>
  <w:style w:type="paragraph" w:customStyle="1" w:styleId="TableListNumber">
    <w:name w:val="Table List Number"/>
    <w:basedOn w:val="ListNumber"/>
    <w:rsid w:val="00AD4D26"/>
    <w:pPr>
      <w:numPr>
        <w:numId w:val="0"/>
      </w:numPr>
    </w:pPr>
  </w:style>
  <w:style w:type="paragraph" w:styleId="TOC4">
    <w:name w:val="toc 4"/>
    <w:basedOn w:val="TOCBase"/>
    <w:next w:val="Normal"/>
    <w:semiHidden/>
    <w:rsid w:val="00AD4D26"/>
    <w:pPr>
      <w:tabs>
        <w:tab w:val="right" w:leader="dot" w:pos="9071"/>
      </w:tabs>
      <w:ind w:left="1701"/>
    </w:pPr>
  </w:style>
  <w:style w:type="paragraph" w:customStyle="1" w:styleId="ListAlpha">
    <w:name w:val="List Alpha"/>
    <w:basedOn w:val="List"/>
    <w:rsid w:val="00AD4D26"/>
    <w:pPr>
      <w:numPr>
        <w:numId w:val="9"/>
      </w:numPr>
    </w:pPr>
  </w:style>
  <w:style w:type="paragraph" w:customStyle="1" w:styleId="ListAlpha2">
    <w:name w:val="List Alpha 2"/>
    <w:basedOn w:val="List2"/>
    <w:rsid w:val="00AD4D26"/>
    <w:pPr>
      <w:numPr>
        <w:numId w:val="8"/>
      </w:numPr>
    </w:pPr>
  </w:style>
  <w:style w:type="paragraph" w:styleId="List2">
    <w:name w:val="List 2"/>
    <w:basedOn w:val="BodyText"/>
    <w:rsid w:val="00AD4D26"/>
    <w:pPr>
      <w:tabs>
        <w:tab w:val="left" w:pos="680"/>
      </w:tabs>
      <w:spacing w:before="60" w:after="60"/>
      <w:ind w:left="680" w:hanging="340"/>
    </w:pPr>
  </w:style>
  <w:style w:type="paragraph" w:styleId="List3">
    <w:name w:val="List 3"/>
    <w:basedOn w:val="BodyText"/>
    <w:rsid w:val="00AD4D26"/>
    <w:pPr>
      <w:tabs>
        <w:tab w:val="left" w:pos="1021"/>
      </w:tabs>
      <w:spacing w:before="60" w:after="60"/>
      <w:ind w:left="1020" w:hanging="340"/>
    </w:pPr>
  </w:style>
  <w:style w:type="paragraph" w:styleId="List4">
    <w:name w:val="List 4"/>
    <w:basedOn w:val="BodyText"/>
    <w:rsid w:val="00AD4D26"/>
    <w:pPr>
      <w:tabs>
        <w:tab w:val="left" w:pos="1361"/>
      </w:tabs>
      <w:spacing w:before="60" w:after="60"/>
      <w:ind w:left="1361" w:hanging="340"/>
    </w:pPr>
  </w:style>
  <w:style w:type="paragraph" w:styleId="List5">
    <w:name w:val="List 5"/>
    <w:basedOn w:val="BodyText"/>
    <w:rsid w:val="00AD4D26"/>
    <w:pPr>
      <w:tabs>
        <w:tab w:val="left" w:pos="1701"/>
      </w:tabs>
      <w:spacing w:before="60" w:after="60"/>
      <w:ind w:left="1701" w:hanging="340"/>
    </w:pPr>
  </w:style>
  <w:style w:type="paragraph" w:styleId="ListBullet3">
    <w:name w:val="List Bullet 3"/>
    <w:basedOn w:val="List3"/>
    <w:rsid w:val="00AD4D26"/>
    <w:pPr>
      <w:numPr>
        <w:numId w:val="15"/>
      </w:numPr>
      <w:tabs>
        <w:tab w:val="clear" w:pos="1021"/>
      </w:tabs>
      <w:ind w:left="1037" w:hanging="357"/>
    </w:pPr>
  </w:style>
  <w:style w:type="paragraph" w:styleId="ListBullet4">
    <w:name w:val="List Bullet 4"/>
    <w:basedOn w:val="List4"/>
    <w:rsid w:val="00AD4D26"/>
    <w:pPr>
      <w:numPr>
        <w:numId w:val="3"/>
      </w:numPr>
      <w:tabs>
        <w:tab w:val="clear" w:pos="1361"/>
      </w:tabs>
    </w:pPr>
  </w:style>
  <w:style w:type="paragraph" w:styleId="ListBullet5">
    <w:name w:val="List Bullet 5"/>
    <w:basedOn w:val="List5"/>
    <w:rsid w:val="00AD4D26"/>
    <w:pPr>
      <w:numPr>
        <w:numId w:val="4"/>
      </w:numPr>
    </w:pPr>
  </w:style>
  <w:style w:type="paragraph" w:styleId="ListContinue2">
    <w:name w:val="List Continue 2"/>
    <w:basedOn w:val="List2"/>
    <w:rsid w:val="00AD4D26"/>
    <w:pPr>
      <w:ind w:firstLine="0"/>
    </w:pPr>
  </w:style>
  <w:style w:type="paragraph" w:styleId="ListContinue3">
    <w:name w:val="List Continue 3"/>
    <w:basedOn w:val="List3"/>
    <w:rsid w:val="00AD4D26"/>
    <w:pPr>
      <w:ind w:left="1021" w:firstLine="0"/>
    </w:pPr>
  </w:style>
  <w:style w:type="paragraph" w:styleId="ListContinue4">
    <w:name w:val="List Continue 4"/>
    <w:basedOn w:val="List4"/>
    <w:rsid w:val="00AD4D26"/>
    <w:pPr>
      <w:ind w:firstLine="0"/>
    </w:pPr>
  </w:style>
  <w:style w:type="paragraph" w:styleId="ListContinue5">
    <w:name w:val="List Continue 5"/>
    <w:basedOn w:val="List5"/>
    <w:rsid w:val="00AD4D26"/>
    <w:pPr>
      <w:ind w:firstLine="0"/>
    </w:pPr>
  </w:style>
  <w:style w:type="paragraph" w:styleId="ListNumber3">
    <w:name w:val="List Number 3"/>
    <w:basedOn w:val="List3"/>
    <w:rsid w:val="00AD4D26"/>
    <w:pPr>
      <w:numPr>
        <w:numId w:val="5"/>
      </w:numPr>
    </w:pPr>
  </w:style>
  <w:style w:type="paragraph" w:styleId="ListNumber4">
    <w:name w:val="List Number 4"/>
    <w:basedOn w:val="List4"/>
    <w:rsid w:val="00AD4D26"/>
    <w:pPr>
      <w:numPr>
        <w:numId w:val="6"/>
      </w:numPr>
    </w:pPr>
  </w:style>
  <w:style w:type="paragraph" w:styleId="ListNumber5">
    <w:name w:val="List Number 5"/>
    <w:basedOn w:val="List5"/>
    <w:rsid w:val="00AD4D26"/>
    <w:pPr>
      <w:numPr>
        <w:numId w:val="7"/>
      </w:numPr>
    </w:pPr>
  </w:style>
  <w:style w:type="paragraph" w:styleId="BlockText">
    <w:name w:val="Block Text"/>
    <w:basedOn w:val="Normal"/>
    <w:rsid w:val="00AD4D26"/>
    <w:pPr>
      <w:spacing w:after="120"/>
      <w:ind w:left="1440" w:right="1440"/>
    </w:pPr>
  </w:style>
  <w:style w:type="character" w:customStyle="1" w:styleId="Subscript">
    <w:name w:val="Subscript"/>
    <w:basedOn w:val="DefaultParagraphFont"/>
    <w:rsid w:val="00AD4D26"/>
    <w:rPr>
      <w:sz w:val="16"/>
      <w:vertAlign w:val="subscript"/>
    </w:rPr>
  </w:style>
  <w:style w:type="character" w:customStyle="1" w:styleId="Superscript">
    <w:name w:val="Superscript"/>
    <w:basedOn w:val="DefaultParagraphFont"/>
    <w:rsid w:val="00AD4D26"/>
    <w:rPr>
      <w:sz w:val="16"/>
      <w:vertAlign w:val="superscript"/>
    </w:rPr>
  </w:style>
  <w:style w:type="character" w:customStyle="1" w:styleId="Symbols">
    <w:name w:val="Symbols"/>
    <w:basedOn w:val="DefaultParagraphFont"/>
    <w:rsid w:val="00AD4D26"/>
    <w:rPr>
      <w:rFonts w:ascii="Symbol" w:hAnsi="Symbol"/>
    </w:rPr>
  </w:style>
  <w:style w:type="character" w:customStyle="1" w:styleId="MenuOptions">
    <w:name w:val="Menu Options"/>
    <w:basedOn w:val="DefaultParagraphFont"/>
    <w:rsid w:val="00AD4D26"/>
    <w:rPr>
      <w:rFonts w:ascii="Arial Narrow" w:hAnsi="Arial Narrow"/>
      <w:smallCaps/>
    </w:rPr>
  </w:style>
  <w:style w:type="character" w:customStyle="1" w:styleId="Buttons">
    <w:name w:val="Buttons"/>
    <w:basedOn w:val="DefaultParagraphFont"/>
    <w:rsid w:val="00AD4D26"/>
    <w:rPr>
      <w:b/>
    </w:rPr>
  </w:style>
  <w:style w:type="character" w:customStyle="1" w:styleId="Underlined">
    <w:name w:val="Underlined"/>
    <w:basedOn w:val="DefaultParagraphFont"/>
    <w:rsid w:val="00AD4D26"/>
    <w:rPr>
      <w:u w:val="single"/>
    </w:rPr>
  </w:style>
  <w:style w:type="paragraph" w:customStyle="1" w:styleId="TableBodyTextRight">
    <w:name w:val="Table Body Text Right"/>
    <w:basedOn w:val="TableBodyText"/>
    <w:rsid w:val="00AD4D26"/>
    <w:pPr>
      <w:widowControl w:val="0"/>
      <w:autoSpaceDE w:val="0"/>
      <w:autoSpaceDN w:val="0"/>
      <w:adjustRightInd w:val="0"/>
      <w:jc w:val="right"/>
    </w:pPr>
    <w:rPr>
      <w:rFonts w:cs="Arial"/>
      <w:szCs w:val="18"/>
    </w:rPr>
  </w:style>
  <w:style w:type="paragraph" w:customStyle="1" w:styleId="CopyrightText">
    <w:name w:val="Copyright Text"/>
    <w:basedOn w:val="BodyText"/>
    <w:rsid w:val="00AD4D26"/>
    <w:rPr>
      <w:sz w:val="18"/>
    </w:rPr>
  </w:style>
  <w:style w:type="paragraph" w:customStyle="1" w:styleId="BodySmallRight">
    <w:name w:val="Body Small Right"/>
    <w:basedOn w:val="BodyTextRight"/>
    <w:rsid w:val="00AD4D26"/>
    <w:rPr>
      <w:sz w:val="18"/>
      <w:szCs w:val="18"/>
    </w:rPr>
  </w:style>
  <w:style w:type="paragraph" w:customStyle="1" w:styleId="MarginEdition">
    <w:name w:val="Margin Edition"/>
    <w:basedOn w:val="MarginNote"/>
    <w:rsid w:val="00AD4D26"/>
    <w:pPr>
      <w:spacing w:before="0" w:after="0"/>
    </w:pPr>
    <w:rPr>
      <w:rFonts w:ascii="Times New Roman" w:hAnsi="Times New Roman"/>
      <w:color w:val="999999"/>
    </w:rPr>
  </w:style>
  <w:style w:type="paragraph" w:customStyle="1" w:styleId="Spacer">
    <w:name w:val="Spacer"/>
    <w:basedOn w:val="Normal"/>
    <w:rsid w:val="00AD4D26"/>
    <w:rPr>
      <w:sz w:val="2"/>
      <w:szCs w:val="2"/>
    </w:rPr>
  </w:style>
  <w:style w:type="character" w:customStyle="1" w:styleId="Small">
    <w:name w:val="Small"/>
    <w:basedOn w:val="DefaultParagraphFont"/>
    <w:rsid w:val="00AD4D26"/>
    <w:rPr>
      <w:sz w:val="16"/>
    </w:rPr>
  </w:style>
  <w:style w:type="paragraph" w:customStyle="1" w:styleId="WideTable">
    <w:name w:val="Wide Table"/>
    <w:basedOn w:val="Normal"/>
    <w:rsid w:val="00AD4D26"/>
    <w:pPr>
      <w:ind w:left="-1418"/>
    </w:pPr>
    <w:rPr>
      <w:sz w:val="2"/>
      <w:szCs w:val="2"/>
    </w:rPr>
  </w:style>
  <w:style w:type="character" w:styleId="PageNumber">
    <w:name w:val="page number"/>
    <w:basedOn w:val="DefaultParagraphFont"/>
    <w:rsid w:val="00AD4D26"/>
  </w:style>
  <w:style w:type="paragraph" w:styleId="Quote">
    <w:name w:val="Quote"/>
    <w:basedOn w:val="Heading1"/>
    <w:link w:val="QuoteChar"/>
    <w:qFormat/>
    <w:rsid w:val="00AD4D26"/>
    <w:rPr>
      <w:b w:val="0"/>
      <w:sz w:val="72"/>
      <w:szCs w:val="72"/>
      <w:lang w:val="en-NZ"/>
    </w:rPr>
  </w:style>
  <w:style w:type="character" w:customStyle="1" w:styleId="QuoteChar">
    <w:name w:val="Quote Char"/>
    <w:basedOn w:val="DefaultParagraphFont"/>
    <w:link w:val="Quote"/>
    <w:rsid w:val="00AD4D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D26"/>
    <w:pPr>
      <w:pageBreakBefore/>
    </w:pPr>
  </w:style>
  <w:style w:type="paragraph" w:customStyle="1" w:styleId="Border">
    <w:name w:val="Border"/>
    <w:basedOn w:val="Normal"/>
    <w:qFormat/>
    <w:rsid w:val="00AD4D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D26"/>
    <w:rPr>
      <w:b/>
      <w:bCs/>
      <w:i/>
      <w:iCs/>
      <w:color w:val="auto"/>
    </w:rPr>
  </w:style>
  <w:style w:type="paragraph" w:styleId="IntenseQuote">
    <w:name w:val="Intense Quote"/>
    <w:basedOn w:val="Normal"/>
    <w:next w:val="Normal"/>
    <w:link w:val="IntenseQuoteChar"/>
    <w:uiPriority w:val="30"/>
    <w:qFormat/>
    <w:rsid w:val="00AD4D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D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D26"/>
    <w:rPr>
      <w:smallCaps/>
      <w:color w:val="auto"/>
      <w:u w:val="single"/>
    </w:rPr>
  </w:style>
  <w:style w:type="character" w:styleId="IntenseReference">
    <w:name w:val="Intense Reference"/>
    <w:basedOn w:val="DefaultParagraphFont"/>
    <w:uiPriority w:val="32"/>
    <w:qFormat/>
    <w:rsid w:val="00AD4D26"/>
    <w:rPr>
      <w:b/>
      <w:bCs/>
      <w:smallCaps/>
      <w:color w:val="auto"/>
      <w:spacing w:val="5"/>
      <w:u w:val="single"/>
    </w:rPr>
  </w:style>
  <w:style w:type="paragraph" w:customStyle="1" w:styleId="2ColumnHeading">
    <w:name w:val="2Column Heading"/>
    <w:basedOn w:val="BodyText"/>
    <w:qFormat/>
    <w:rsid w:val="00AD4D26"/>
    <w:pPr>
      <w:spacing w:after="60"/>
      <w:ind w:left="-2268"/>
    </w:pPr>
    <w:rPr>
      <w:b/>
    </w:rPr>
  </w:style>
  <w:style w:type="paragraph" w:customStyle="1" w:styleId="Heading1TOC">
    <w:name w:val="Heading1 TOC"/>
    <w:basedOn w:val="Normal"/>
    <w:qFormat/>
    <w:rsid w:val="00AD4D26"/>
    <w:pPr>
      <w:spacing w:before="240" w:after="120"/>
    </w:pPr>
    <w:rPr>
      <w:rFonts w:ascii="Times New Roman" w:hAnsi="Times New Roman"/>
      <w:b/>
      <w:sz w:val="32"/>
    </w:rPr>
  </w:style>
  <w:style w:type="paragraph" w:customStyle="1" w:styleId="Heading2TOC">
    <w:name w:val="Heading2 TOC"/>
    <w:basedOn w:val="Normal"/>
    <w:qFormat/>
    <w:rsid w:val="00AD4D26"/>
    <w:pPr>
      <w:spacing w:before="240" w:after="60"/>
    </w:pPr>
    <w:rPr>
      <w:rFonts w:ascii="Times New Roman" w:hAnsi="Times New Roman"/>
      <w:b/>
      <w:sz w:val="28"/>
    </w:rPr>
  </w:style>
  <w:style w:type="character" w:customStyle="1" w:styleId="Underline">
    <w:name w:val="Underline"/>
    <w:basedOn w:val="DefaultParagraphFont"/>
    <w:qFormat/>
    <w:rsid w:val="00AD4D26"/>
    <w:rPr>
      <w:u w:val="single"/>
    </w:rPr>
  </w:style>
  <w:style w:type="character" w:customStyle="1" w:styleId="BoldandItalics">
    <w:name w:val="Bold and Italics"/>
    <w:qFormat/>
    <w:rsid w:val="00AD4D26"/>
    <w:rPr>
      <w:b/>
      <w:i/>
      <w:u w:val="none"/>
    </w:rPr>
  </w:style>
  <w:style w:type="paragraph" w:styleId="BalloonText">
    <w:name w:val="Balloon Text"/>
    <w:basedOn w:val="Normal"/>
    <w:link w:val="BalloonTextChar"/>
    <w:rsid w:val="00AD4D26"/>
    <w:rPr>
      <w:rFonts w:ascii="Tahoma" w:hAnsi="Tahoma" w:cs="Tahoma"/>
      <w:sz w:val="16"/>
      <w:szCs w:val="16"/>
    </w:rPr>
  </w:style>
  <w:style w:type="character" w:customStyle="1" w:styleId="BalloonTextChar">
    <w:name w:val="Balloon Text Char"/>
    <w:basedOn w:val="DefaultParagraphFont"/>
    <w:link w:val="BalloonText"/>
    <w:rsid w:val="00AD4D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D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4D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D26"/>
    <w:rPr>
      <w:b/>
      <w:color w:val="660033"/>
      <w:spacing w:val="0"/>
    </w:rPr>
  </w:style>
  <w:style w:type="paragraph" w:customStyle="1" w:styleId="Nameditemlist">
    <w:name w:val="Named item list"/>
    <w:basedOn w:val="BodyText"/>
    <w:qFormat/>
    <w:rsid w:val="00AD4D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4231</Characters>
  <Application>Microsoft Office Word</Application>
  <DocSecurity>0</DocSecurity>
  <Lines>182</Lines>
  <Paragraphs>101</Paragraphs>
  <ScaleCrop>false</ScaleCrop>
  <Company>Author-it Software Corporation Ltd.</Company>
  <LinksUpToDate>false</LinksUpToDate>
  <CharactersWithSpaces>4835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MSFSL3002 Protect stained glass and leadlighting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2016-12-09T03:36:00Z</dcterms:created>
  <dcterms:modified xsi:type="dcterms:W3CDTF">2016-12-09T03:36:00Z</dcterms:modified>
</cp:coreProperties>
</file>