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7EF3" w:rsidP="00767EF3">
      <w:pPr>
        <w:pStyle w:val="Title"/>
      </w:pPr>
      <w:r>
        <w:fldChar w:fldCharType="begin"/>
      </w:r>
      <w:r>
        <w:instrText xml:space="preserve"> TITLE   \* MERGEFORMAT </w:instrText>
      </w:r>
      <w:r>
        <w:fldChar w:fldCharType="separate"/>
      </w:r>
      <w:r>
        <w:t>MSFSL2001 Assemble leadlight and stained glass components</w:t>
      </w:r>
      <w:r>
        <w:fldChar w:fldCharType="end"/>
      </w:r>
    </w:p>
    <w:p w:rsidR="00767EF3" w:rsidP="00767EF3">
      <w:pPr>
        <w:pStyle w:val="Version"/>
        <w:sectPr w:rsidSect="008725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25A4" w:rsidP="008725A4">
      <w:pPr>
        <w:pStyle w:val="SuperHeading"/>
      </w:pPr>
      <w:r w:rsidRPr="008725A4">
        <w:t>MSFSL2001 Assemble leadlight and stained glass components</w:t>
      </w:r>
    </w:p>
    <w:p w:rsidR="00000000" w:rsidRPr="008725A4" w:rsidP="008725A4">
      <w:pPr>
        <w:pStyle w:val="Heading1"/>
      </w:pPr>
      <w:bookmarkStart w:id="1" w:name="O_621284"/>
      <w:bookmarkEnd w:id="1"/>
      <w:r w:rsidRPr="008725A4">
        <w:t>Modification History</w:t>
      </w:r>
    </w:p>
    <w:p w:rsidR="00000000" w:rsidRPr="008725A4" w:rsidP="008725A4">
      <w:pPr>
        <w:pStyle w:val="BodyText"/>
      </w:pPr>
      <w:r w:rsidRPr="008725A4">
        <w:t>Release 1 - New unit of competency</w:t>
      </w:r>
    </w:p>
    <w:p w:rsidR="00000000" w:rsidRPr="008725A4" w:rsidP="008725A4">
      <w:pPr>
        <w:pStyle w:val="AllowPageBreak"/>
      </w:pPr>
    </w:p>
    <w:p w:rsidR="00000000" w:rsidRPr="008725A4" w:rsidP="008725A4">
      <w:pPr>
        <w:pStyle w:val="Heading1"/>
      </w:pPr>
      <w:bookmarkStart w:id="2" w:name="O_621285"/>
      <w:bookmarkEnd w:id="2"/>
      <w:r w:rsidRPr="008725A4">
        <w:t>Application</w:t>
      </w:r>
    </w:p>
    <w:p w:rsidR="00000000" w:rsidRPr="008725A4" w:rsidP="008725A4">
      <w:pPr>
        <w:pStyle w:val="BodyText"/>
      </w:pPr>
      <w:r w:rsidRPr="008725A4">
        <w:t>This unit of competency covers assembling leadlight and stained glass components using a range of fixing and joining components.</w:t>
      </w:r>
    </w:p>
    <w:p w:rsidR="00000000" w:rsidRPr="008725A4" w:rsidP="008725A4">
      <w:pPr>
        <w:pStyle w:val="BodyText"/>
      </w:pPr>
    </w:p>
    <w:p w:rsidR="00000000" w:rsidRPr="008725A4" w:rsidP="008725A4">
      <w:pPr>
        <w:pStyle w:val="BodyText"/>
      </w:pPr>
      <w:r w:rsidRPr="008725A4">
        <w:t>No licensing, legislative or cert</w:t>
      </w:r>
      <w:r w:rsidRPr="008725A4">
        <w:t>ification requirements apply to this unit at the time of publication.</w:t>
      </w:r>
    </w:p>
    <w:p w:rsidR="00000000" w:rsidRPr="008725A4" w:rsidP="008725A4">
      <w:pPr>
        <w:pStyle w:val="AllowPageBreak"/>
      </w:pPr>
    </w:p>
    <w:p w:rsidR="00000000" w:rsidRPr="008725A4" w:rsidP="008725A4">
      <w:pPr>
        <w:pStyle w:val="Heading1"/>
      </w:pPr>
      <w:bookmarkStart w:id="3" w:name="O_621286"/>
      <w:bookmarkEnd w:id="3"/>
      <w:r w:rsidRPr="008725A4">
        <w:t>Pre-requisite Unit</w:t>
      </w:r>
    </w:p>
    <w:p w:rsidR="00000000" w:rsidRPr="008725A4" w:rsidP="008725A4">
      <w:pPr>
        <w:pStyle w:val="Heading1"/>
      </w:pPr>
      <w:bookmarkStart w:id="4" w:name="O_621287"/>
      <w:bookmarkEnd w:id="4"/>
      <w:r w:rsidRPr="008725A4">
        <w:t>Competency Field</w:t>
      </w:r>
    </w:p>
    <w:p w:rsidR="00000000" w:rsidRPr="008725A4" w:rsidP="008725A4">
      <w:pPr>
        <w:pStyle w:val="Heading1"/>
      </w:pPr>
      <w:bookmarkStart w:id="5" w:name="O_621288"/>
      <w:bookmarkEnd w:id="5"/>
      <w:r w:rsidRPr="008725A4">
        <w:t>Unit Sector</w:t>
      </w:r>
    </w:p>
    <w:p w:rsidR="00000000" w:rsidRPr="008725A4" w:rsidP="008725A4">
      <w:pPr>
        <w:pStyle w:val="BodyText"/>
      </w:pPr>
      <w:r w:rsidRPr="008725A4">
        <w:t>Leadlight and Stained Glass</w:t>
      </w:r>
    </w:p>
    <w:p w:rsidR="00000000" w:rsidRPr="008725A4" w:rsidP="008725A4">
      <w:pPr>
        <w:pStyle w:val="AllowPageBreak"/>
      </w:pPr>
    </w:p>
    <w:p w:rsidR="00000000" w:rsidRPr="008725A4" w:rsidP="008725A4">
      <w:pPr>
        <w:pStyle w:val="Heading1"/>
      </w:pPr>
      <w:bookmarkStart w:id="6" w:name="O_621289"/>
      <w:bookmarkEnd w:id="6"/>
      <w:r w:rsidRPr="008725A4">
        <w:t>Elements and Performance Criteria</w:t>
      </w:r>
    </w:p>
    <w:tbl>
      <w:tblPr>
        <w:tblW w:w="0" w:type="auto"/>
        <w:tblLayout w:type="fixed"/>
        <w:tblCellMar>
          <w:left w:w="62" w:type="dxa"/>
          <w:right w:w="62" w:type="dxa"/>
        </w:tblCellMar>
        <w:tblLook w:val="0000"/>
      </w:tblPr>
      <w:tblGrid>
        <w:gridCol w:w="630"/>
        <w:gridCol w:w="2129"/>
        <w:gridCol w:w="661"/>
        <w:gridCol w:w="5760"/>
      </w:tblGrid>
      <w:tr w:rsidTr="008725A4">
        <w:tblPrEx>
          <w:tblW w:w="0" w:type="auto"/>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Elements d</w:t>
            </w:r>
            <w:r w:rsidRPr="008725A4">
              <w:t>escribe the essential outcomes.</w:t>
            </w:r>
          </w:p>
        </w:tc>
        <w:tc>
          <w:tcPr>
            <w:tcW w:w="6421" w:type="dxa"/>
            <w:gridSpan w:val="2"/>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Performance criteria describe the performance needed to demonstrate achievement of the element.</w:t>
            </w:r>
          </w:p>
        </w:tc>
      </w:tr>
      <w:tr w:rsidTr="008725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1</w:t>
            </w:r>
          </w:p>
        </w:tc>
        <w:tc>
          <w:tcPr>
            <w:tcW w:w="2129"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Plan and prepare for work</w:t>
            </w:r>
          </w:p>
        </w:tc>
        <w:tc>
          <w:tcPr>
            <w:tcW w:w="661"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1.1</w:t>
            </w:r>
          </w:p>
        </w:tc>
        <w:tc>
          <w:tcPr>
            <w:tcW w:w="5760"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Applicable work health and safety (WHS), legislative and organisational requirements relevant to the assembly of leadlight and stained glass components are verified and complied with</w:t>
            </w:r>
          </w:p>
        </w:tc>
      </w:tr>
      <w:tr w:rsidTr="008725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1.2</w:t>
            </w:r>
          </w:p>
        </w:tc>
        <w:tc>
          <w:tcPr>
            <w:tcW w:w="5760"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Tools and equipment selected to carry out tasks are consistent wit</w:t>
            </w:r>
            <w:r w:rsidRPr="008725A4">
              <w:t>h the requirements of the job, checked for serviceability, and any faults rectified or reported prior to commencement</w:t>
            </w:r>
          </w:p>
        </w:tc>
      </w:tr>
      <w:tr w:rsidTr="008725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1.3</w:t>
            </w:r>
          </w:p>
        </w:tc>
        <w:tc>
          <w:tcPr>
            <w:tcW w:w="5760"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Materials appropriate to the work application are identified, obtained, prepared, safely handled and located ready for use</w:t>
            </w:r>
          </w:p>
        </w:tc>
      </w:tr>
      <w:tr w:rsidTr="008725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1.4</w:t>
            </w:r>
          </w:p>
        </w:tc>
        <w:tc>
          <w:tcPr>
            <w:tcW w:w="5760"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Workplace environment considerations are identified and measures to reduce noise, dust and obstacles are applied</w:t>
            </w:r>
          </w:p>
        </w:tc>
      </w:tr>
      <w:tr w:rsidTr="008725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1.5</w:t>
            </w:r>
          </w:p>
        </w:tc>
        <w:tc>
          <w:tcPr>
            <w:tcW w:w="5760"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Assembly sequence is planned</w:t>
            </w:r>
          </w:p>
        </w:tc>
      </w:tr>
      <w:tr w:rsidTr="008725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1.6</w:t>
            </w:r>
          </w:p>
        </w:tc>
        <w:tc>
          <w:tcPr>
            <w:tcW w:w="5760"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Fixing and joining devices are selected in accordance with work instructions and type of materials t</w:t>
            </w:r>
            <w:r w:rsidRPr="008725A4">
              <w:t>o be joined</w:t>
            </w:r>
          </w:p>
        </w:tc>
      </w:tr>
      <w:tr w:rsidTr="008725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1.7</w:t>
            </w:r>
          </w:p>
        </w:tc>
        <w:tc>
          <w:tcPr>
            <w:tcW w:w="5760"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Jigs are selected and checked for suitability of purpose</w:t>
            </w:r>
          </w:p>
        </w:tc>
      </w:tr>
      <w:tr w:rsidTr="008725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2</w:t>
            </w:r>
          </w:p>
        </w:tc>
        <w:tc>
          <w:tcPr>
            <w:tcW w:w="2129"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Assemble components</w:t>
            </w:r>
          </w:p>
        </w:tc>
        <w:tc>
          <w:tcPr>
            <w:tcW w:w="661"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2.1</w:t>
            </w:r>
          </w:p>
        </w:tc>
        <w:tc>
          <w:tcPr>
            <w:tcW w:w="5760"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Components are laid out and assembled using jigs and appropriate fastenings</w:t>
            </w:r>
          </w:p>
        </w:tc>
      </w:tr>
      <w:tr w:rsidTr="008725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2.2</w:t>
            </w:r>
          </w:p>
        </w:tc>
        <w:tc>
          <w:tcPr>
            <w:tcW w:w="5760"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Hand and/or power tools, and equipment are used, as required</w:t>
            </w:r>
          </w:p>
        </w:tc>
      </w:tr>
      <w:tr w:rsidTr="008725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2.3</w:t>
            </w:r>
          </w:p>
        </w:tc>
        <w:tc>
          <w:tcPr>
            <w:tcW w:w="5760"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Assembled work is checked for compliance with specifications</w:t>
            </w:r>
          </w:p>
        </w:tc>
      </w:tr>
      <w:tr w:rsidTr="008725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2.4</w:t>
            </w:r>
          </w:p>
        </w:tc>
        <w:tc>
          <w:tcPr>
            <w:tcW w:w="5760"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Components are prepared, assembled and fitted in accordance with specifications</w:t>
            </w:r>
          </w:p>
        </w:tc>
      </w:tr>
      <w:tr w:rsidTr="008725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2.5</w:t>
            </w:r>
          </w:p>
        </w:tc>
        <w:tc>
          <w:tcPr>
            <w:tcW w:w="5760"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Work which does not meet quality specifications is repaired or tagged for further processing or recyc</w:t>
            </w:r>
            <w:r w:rsidRPr="008725A4">
              <w:t>ling/disposal</w:t>
            </w:r>
          </w:p>
        </w:tc>
      </w:tr>
      <w:tr w:rsidTr="008725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2.6</w:t>
            </w:r>
          </w:p>
        </w:tc>
        <w:tc>
          <w:tcPr>
            <w:tcW w:w="5760"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Finished products are organised and stored in holding area</w:t>
            </w:r>
          </w:p>
        </w:tc>
      </w:tr>
      <w:tr w:rsidTr="008725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3</w:t>
            </w:r>
          </w:p>
        </w:tc>
        <w:tc>
          <w:tcPr>
            <w:tcW w:w="2129"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Clean work area and maintain equipment</w:t>
            </w:r>
          </w:p>
        </w:tc>
        <w:tc>
          <w:tcPr>
            <w:tcW w:w="661"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3.1</w:t>
            </w:r>
          </w:p>
        </w:tc>
        <w:tc>
          <w:tcPr>
            <w:tcW w:w="5760"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Faulty and/or defective equipment is tagged and reported in accordance with workplace procedures</w:t>
            </w:r>
          </w:p>
        </w:tc>
      </w:tr>
      <w:tr w:rsidTr="008725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3.2</w:t>
            </w:r>
          </w:p>
        </w:tc>
        <w:tc>
          <w:tcPr>
            <w:tcW w:w="5760"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Waste and scrap are removed following workplace procedures</w:t>
            </w:r>
          </w:p>
        </w:tc>
      </w:tr>
      <w:tr w:rsidTr="008725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3.3</w:t>
            </w:r>
          </w:p>
        </w:tc>
        <w:tc>
          <w:tcPr>
            <w:tcW w:w="5760"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Tools and equipment used are cleaned, inspected for serviceable condition and stored appropriately in accordance with workplace procedures</w:t>
            </w:r>
          </w:p>
        </w:tc>
      </w:tr>
      <w:tr w:rsidTr="008725A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3.4</w:t>
            </w:r>
          </w:p>
        </w:tc>
        <w:tc>
          <w:tcPr>
            <w:tcW w:w="5760" w:type="dxa"/>
            <w:tcBorders>
              <w:top w:val="nil"/>
              <w:left w:val="nil"/>
              <w:bottom w:val="nil"/>
              <w:right w:val="nil"/>
            </w:tcBorders>
            <w:tcMar>
              <w:top w:w="0" w:type="dxa"/>
              <w:left w:w="62" w:type="dxa"/>
              <w:bottom w:w="0" w:type="dxa"/>
              <w:right w:w="62" w:type="dxa"/>
            </w:tcMar>
          </w:tcPr>
          <w:p w:rsidR="00000000" w:rsidRPr="008725A4" w:rsidP="008725A4">
            <w:pPr>
              <w:pStyle w:val="BodyText"/>
            </w:pPr>
            <w:r w:rsidRPr="008725A4">
              <w:t>Equipment and work area clean-up is maintained in accordance with workplace procedures</w:t>
            </w:r>
          </w:p>
        </w:tc>
      </w:tr>
    </w:tbl>
    <w:p w:rsidR="00000000" w:rsidRPr="008725A4" w:rsidP="008725A4">
      <w:pPr>
        <w:pStyle w:val="BodyText"/>
      </w:pPr>
    </w:p>
    <w:p w:rsidR="00000000" w:rsidRPr="008725A4" w:rsidP="008725A4">
      <w:pPr>
        <w:pStyle w:val="AllowPageBreak"/>
      </w:pPr>
    </w:p>
    <w:p w:rsidR="00000000" w:rsidRPr="008725A4" w:rsidP="008725A4">
      <w:pPr>
        <w:pStyle w:val="Heading1"/>
      </w:pPr>
      <w:bookmarkStart w:id="7" w:name="O_621290"/>
      <w:bookmarkEnd w:id="7"/>
      <w:r w:rsidRPr="008725A4">
        <w:t>Foundation Skills</w:t>
      </w:r>
    </w:p>
    <w:p w:rsidR="00000000" w:rsidRPr="008725A4" w:rsidP="008725A4">
      <w:pPr>
        <w:pStyle w:val="BodyText"/>
      </w:pPr>
      <w:r w:rsidRPr="008725A4">
        <w:t>Foundation skills essential to performance are explicit in the performance criteria of this unit of competency. Detail on appropriat</w:t>
      </w:r>
      <w:r w:rsidRPr="008725A4">
        <w:t>e performance levels for each furnishing unit of competency in reading, writing, oral communication and numeracy utilising the Australian Core Skills Framework (ACSF) are provided in the Furnishing Training Package Implementation Guide.</w:t>
      </w:r>
    </w:p>
    <w:p w:rsidR="00000000" w:rsidRPr="008725A4" w:rsidP="008725A4">
      <w:pPr>
        <w:pStyle w:val="AllowPageBreak"/>
      </w:pPr>
    </w:p>
    <w:p w:rsidR="00000000" w:rsidRPr="008725A4" w:rsidP="008725A4">
      <w:pPr>
        <w:pStyle w:val="Heading1"/>
      </w:pPr>
      <w:bookmarkStart w:id="8" w:name="O_621291"/>
      <w:bookmarkEnd w:id="8"/>
      <w:r w:rsidRPr="008725A4">
        <w:t>Ra</w:t>
      </w:r>
      <w:r w:rsidRPr="008725A4">
        <w:t>nge of Conditions</w:t>
      </w:r>
    </w:p>
    <w:tbl>
      <w:tblPr>
        <w:tblW w:w="0" w:type="auto"/>
        <w:tblLayout w:type="fixed"/>
        <w:tblCellMar>
          <w:left w:w="62" w:type="dxa"/>
          <w:right w:w="62" w:type="dxa"/>
        </w:tblCellMar>
        <w:tblLook w:val="0000"/>
      </w:tblPr>
      <w:tblGrid>
        <w:gridCol w:w="2760"/>
        <w:gridCol w:w="6312"/>
      </w:tblGrid>
      <w:tr w:rsidTr="008725A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t>Specifies different work environments and conditions that may affect performance. Essential operating conditions that may be present (depending on the work situation, needs of the candidate, accessibility of the item, and local industry a</w:t>
            </w:r>
            <w:r w:rsidRPr="008725A4">
              <w:t>nd regional contexts) are included. Range is restricted to essential operating conditions and any other variables essential to the work environment.</w:t>
            </w:r>
          </w:p>
        </w:tc>
      </w:tr>
      <w:tr w:rsidTr="008725A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8725A4" w:rsidP="008725A4">
            <w:pPr>
              <w:pStyle w:val="ListBullet"/>
            </w:pPr>
            <w:r w:rsidRPr="008725A4">
              <w:t>WHS requirements, including legislation, building codes, material safety manageme</w:t>
            </w:r>
            <w:r w:rsidRPr="008725A4">
              <w:t xml:space="preserve">nt systems, hazardous and dangerous goods codes, and local safe operating procedures or equivalent </w:t>
            </w:r>
          </w:p>
          <w:p w:rsidR="00000000" w:rsidRPr="008725A4" w:rsidP="008725A4">
            <w:pPr>
              <w:pStyle w:val="ListBullet"/>
            </w:pPr>
            <w:r w:rsidRPr="008725A4">
              <w:t>work is carried out in accordance with legislative obligations, environmental legislation, relevant health regulations, manual handling procedures and organisation insurance requirements</w:t>
            </w:r>
          </w:p>
          <w:p w:rsidR="00000000" w:rsidP="008725A4">
            <w:pPr>
              <w:pStyle w:val="ListBullet"/>
              <w:rPr>
                <w:lang w:val="en-NZ"/>
              </w:rPr>
            </w:pPr>
            <w:r w:rsidRPr="008725A4">
              <w:t>work requires individuals to demonstrate some discretion, judgement a</w:t>
            </w:r>
            <w:r w:rsidRPr="008725A4">
              <w:t xml:space="preserve">nd problem solving </w:t>
            </w:r>
          </w:p>
        </w:tc>
      </w:tr>
      <w:tr w:rsidTr="008725A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rPr>
                <w:rStyle w:val="SpecialBold"/>
              </w:rPr>
              <w:t>Components include:</w:t>
            </w:r>
          </w:p>
        </w:tc>
        <w:tc>
          <w:tcPr>
            <w:tcW w:w="6312" w:type="dxa"/>
            <w:tcBorders>
              <w:top w:val="nil"/>
              <w:left w:val="nil"/>
              <w:bottom w:val="nil"/>
              <w:right w:val="nil"/>
            </w:tcBorders>
            <w:tcMar>
              <w:top w:w="0" w:type="dxa"/>
              <w:left w:w="62" w:type="dxa"/>
              <w:bottom w:w="0" w:type="dxa"/>
              <w:right w:w="62" w:type="dxa"/>
            </w:tcMar>
          </w:tcPr>
          <w:p w:rsidR="00000000" w:rsidRPr="008725A4" w:rsidP="008725A4">
            <w:pPr>
              <w:pStyle w:val="ListBullet"/>
            </w:pPr>
            <w:r w:rsidRPr="008725A4">
              <w:t xml:space="preserve">panels </w:t>
            </w:r>
          </w:p>
          <w:p w:rsidR="00000000" w:rsidRPr="008725A4" w:rsidP="008725A4">
            <w:pPr>
              <w:pStyle w:val="ListBullet"/>
            </w:pPr>
            <w:r w:rsidRPr="008725A4">
              <w:t xml:space="preserve">door inserts </w:t>
            </w:r>
          </w:p>
          <w:p w:rsidR="00000000" w:rsidRPr="008725A4" w:rsidP="008725A4">
            <w:pPr>
              <w:pStyle w:val="ListBullet"/>
            </w:pPr>
            <w:r w:rsidRPr="008725A4">
              <w:t xml:space="preserve">frames </w:t>
            </w:r>
          </w:p>
          <w:p w:rsidR="00000000" w:rsidP="008725A4">
            <w:pPr>
              <w:pStyle w:val="ListBullet"/>
              <w:rPr>
                <w:lang w:val="en-NZ"/>
              </w:rPr>
            </w:pPr>
            <w:r w:rsidRPr="008725A4">
              <w:t>limited basic end items</w:t>
            </w:r>
          </w:p>
        </w:tc>
      </w:tr>
      <w:tr w:rsidTr="008725A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8725A4" w:rsidP="008725A4">
            <w:pPr>
              <w:pStyle w:val="ListBullet"/>
            </w:pPr>
            <w:r w:rsidRPr="008725A4">
              <w:t xml:space="preserve">benches </w:t>
            </w:r>
          </w:p>
          <w:p w:rsidR="00000000" w:rsidRPr="008725A4" w:rsidP="008725A4">
            <w:pPr>
              <w:pStyle w:val="ListBullet"/>
            </w:pPr>
            <w:r w:rsidRPr="008725A4">
              <w:t xml:space="preserve">light boxes </w:t>
            </w:r>
          </w:p>
          <w:p w:rsidR="00000000" w:rsidRPr="008725A4" w:rsidP="008725A4">
            <w:pPr>
              <w:pStyle w:val="ListBullet"/>
            </w:pPr>
            <w:r w:rsidRPr="008725A4">
              <w:t xml:space="preserve">glass grinders </w:t>
            </w:r>
          </w:p>
          <w:p w:rsidR="00000000" w:rsidRPr="008725A4" w:rsidP="008725A4">
            <w:pPr>
              <w:pStyle w:val="ListBullet"/>
            </w:pPr>
            <w:r w:rsidRPr="008725A4">
              <w:t xml:space="preserve">lead knifes </w:t>
            </w:r>
          </w:p>
          <w:p w:rsidR="00000000" w:rsidRPr="008725A4" w:rsidP="008725A4">
            <w:pPr>
              <w:pStyle w:val="ListBullet"/>
            </w:pPr>
            <w:r w:rsidRPr="008725A4">
              <w:t xml:space="preserve">lead vice </w:t>
            </w:r>
          </w:p>
          <w:p w:rsidR="00000000" w:rsidRPr="008725A4" w:rsidP="008725A4">
            <w:pPr>
              <w:pStyle w:val="ListBullet"/>
            </w:pPr>
            <w:r w:rsidRPr="008725A4">
              <w:t xml:space="preserve">lathekins </w:t>
            </w:r>
          </w:p>
          <w:p w:rsidR="00000000" w:rsidRPr="008725A4" w:rsidP="008725A4">
            <w:pPr>
              <w:pStyle w:val="ListBullet"/>
            </w:pPr>
            <w:r w:rsidRPr="008725A4">
              <w:t xml:space="preserve">farriers nails </w:t>
            </w:r>
          </w:p>
          <w:p w:rsidR="00000000" w:rsidRPr="008725A4" w:rsidP="008725A4">
            <w:pPr>
              <w:pStyle w:val="ListBullet"/>
            </w:pPr>
            <w:r w:rsidRPr="008725A4">
              <w:t xml:space="preserve">glass cutters </w:t>
            </w:r>
          </w:p>
          <w:p w:rsidR="00000000" w:rsidRPr="008725A4" w:rsidP="008725A4">
            <w:pPr>
              <w:pStyle w:val="ListBullet"/>
            </w:pPr>
            <w:r w:rsidRPr="008725A4">
              <w:t xml:space="preserve">grozing and small running pliers </w:t>
            </w:r>
          </w:p>
          <w:p w:rsidR="00000000" w:rsidRPr="008725A4" w:rsidP="008725A4">
            <w:pPr>
              <w:pStyle w:val="ListBullet"/>
            </w:pPr>
            <w:r w:rsidRPr="008725A4">
              <w:t xml:space="preserve">soldering irons and bits </w:t>
            </w:r>
          </w:p>
          <w:p w:rsidR="00000000" w:rsidRPr="008725A4" w:rsidP="008725A4">
            <w:pPr>
              <w:pStyle w:val="ListBullet"/>
            </w:pPr>
            <w:r w:rsidRPr="008725A4">
              <w:t xml:space="preserve">suede </w:t>
            </w:r>
          </w:p>
          <w:p w:rsidR="00000000" w:rsidRPr="008725A4" w:rsidP="008725A4">
            <w:pPr>
              <w:pStyle w:val="ListBullet"/>
            </w:pPr>
            <w:r w:rsidRPr="008725A4">
              <w:t xml:space="preserve">cleaning and polishing brushes </w:t>
            </w:r>
          </w:p>
          <w:p w:rsidR="00000000" w:rsidP="008725A4">
            <w:pPr>
              <w:pStyle w:val="ListBullet"/>
              <w:rPr>
                <w:lang w:val="en-NZ"/>
              </w:rPr>
            </w:pPr>
            <w:r w:rsidRPr="008725A4">
              <w:t>pickers</w:t>
            </w:r>
          </w:p>
        </w:tc>
      </w:tr>
      <w:tr w:rsidTr="008725A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8725A4" w:rsidP="008725A4">
            <w:pPr>
              <w:pStyle w:val="ListBullet"/>
            </w:pPr>
            <w:r w:rsidRPr="008725A4">
              <w:t>coloured/plain glass panels</w:t>
            </w:r>
          </w:p>
          <w:p w:rsidR="00000000" w:rsidRPr="008725A4" w:rsidP="008725A4">
            <w:pPr>
              <w:pStyle w:val="ListBullet"/>
            </w:pPr>
            <w:r w:rsidRPr="008725A4">
              <w:t>patterns/templates</w:t>
            </w:r>
          </w:p>
          <w:p w:rsidR="00000000" w:rsidRPr="008725A4" w:rsidP="008725A4">
            <w:pPr>
              <w:pStyle w:val="ListBullet"/>
            </w:pPr>
            <w:r w:rsidRPr="008725A4">
              <w:t xml:space="preserve">timber lathes </w:t>
            </w:r>
          </w:p>
          <w:p w:rsidR="00000000" w:rsidRPr="008725A4" w:rsidP="008725A4">
            <w:pPr>
              <w:pStyle w:val="ListBullet"/>
            </w:pPr>
            <w:r w:rsidRPr="008725A4">
              <w:t xml:space="preserve">ornamental fittings </w:t>
            </w:r>
          </w:p>
          <w:p w:rsidR="00000000" w:rsidRPr="008725A4" w:rsidP="008725A4">
            <w:pPr>
              <w:pStyle w:val="ListBullet"/>
            </w:pPr>
            <w:r w:rsidRPr="008725A4">
              <w:t xml:space="preserve">lead came </w:t>
            </w:r>
          </w:p>
          <w:p w:rsidR="00000000" w:rsidP="008725A4">
            <w:pPr>
              <w:pStyle w:val="ListBullet"/>
              <w:rPr>
                <w:lang w:val="en-NZ"/>
              </w:rPr>
            </w:pPr>
            <w:r w:rsidRPr="008725A4">
              <w:t>solder and fluxes</w:t>
            </w:r>
          </w:p>
        </w:tc>
      </w:tr>
      <w:tr w:rsidTr="008725A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725A4" w:rsidP="008725A4">
            <w:pPr>
              <w:pStyle w:val="BodyText"/>
            </w:pPr>
            <w:r w:rsidRPr="008725A4">
              <w:rPr>
                <w:rStyle w:val="SpecialBold"/>
              </w:rPr>
              <w:t>Personal protective equipment includes:</w:t>
            </w:r>
          </w:p>
          <w:p w:rsidR="00000000" w:rsidP="008725A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725A4" w:rsidP="008725A4">
            <w:pPr>
              <w:pStyle w:val="ListBullet"/>
            </w:pPr>
            <w:r w:rsidRPr="008725A4">
              <w:t>that prescribed under legislation, regulation and enterprise policies and practices:</w:t>
            </w:r>
          </w:p>
          <w:p w:rsidR="00000000" w:rsidRPr="008725A4" w:rsidP="008725A4">
            <w:pPr>
              <w:pStyle w:val="ListBullet2"/>
            </w:pPr>
            <w:r w:rsidRPr="008725A4">
              <w:t>gauntlets</w:t>
            </w:r>
          </w:p>
          <w:p w:rsidR="00000000" w:rsidRPr="008725A4" w:rsidP="008725A4">
            <w:pPr>
              <w:pStyle w:val="ListBullet2"/>
            </w:pPr>
            <w:r w:rsidRPr="008725A4">
              <w:t>gloves</w:t>
            </w:r>
          </w:p>
          <w:p w:rsidR="00000000" w:rsidRPr="008725A4" w:rsidP="008725A4">
            <w:pPr>
              <w:pStyle w:val="ListBullet2"/>
            </w:pPr>
            <w:r w:rsidRPr="008725A4">
              <w:t>safety glasses</w:t>
            </w:r>
          </w:p>
          <w:p w:rsidR="00000000" w:rsidRPr="008725A4" w:rsidP="008725A4">
            <w:pPr>
              <w:pStyle w:val="ListBullet2"/>
            </w:pPr>
            <w:r w:rsidRPr="008725A4">
              <w:t>hard hats</w:t>
            </w:r>
          </w:p>
          <w:p w:rsidR="00000000" w:rsidRPr="008725A4" w:rsidP="008725A4">
            <w:pPr>
              <w:pStyle w:val="ListBullet2"/>
            </w:pPr>
            <w:r w:rsidRPr="008725A4">
              <w:t>safety footwear</w:t>
            </w:r>
          </w:p>
          <w:p w:rsidR="00000000" w:rsidP="008725A4">
            <w:pPr>
              <w:pStyle w:val="ListBullet2"/>
              <w:rPr>
                <w:lang w:val="en-NZ"/>
              </w:rPr>
            </w:pPr>
            <w:r w:rsidRPr="008725A4">
              <w:t>aprons and overalls</w:t>
            </w:r>
          </w:p>
        </w:tc>
      </w:tr>
      <w:tr w:rsidTr="008725A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725A4">
            <w:pPr>
              <w:pStyle w:val="BodyText"/>
              <w:rPr>
                <w:lang w:val="en-NZ"/>
              </w:rPr>
            </w:pPr>
            <w:r w:rsidRPr="008725A4">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8725A4" w:rsidP="008725A4">
            <w:pPr>
              <w:pStyle w:val="ListBullet"/>
            </w:pPr>
            <w:r w:rsidRPr="008725A4">
              <w:t xml:space="preserve">workplace procedures relating to the use of tools and equipment and personal protective equipment </w:t>
            </w:r>
          </w:p>
          <w:p w:rsidR="00000000" w:rsidRPr="008725A4" w:rsidP="008725A4">
            <w:pPr>
              <w:pStyle w:val="ListBullet"/>
            </w:pPr>
            <w:r w:rsidRPr="008725A4">
              <w:t xml:space="preserve">work instructions, including job sheets, cutting lists, plans, drawings and designs </w:t>
            </w:r>
          </w:p>
          <w:p w:rsidR="00000000" w:rsidRPr="008725A4" w:rsidP="008725A4">
            <w:pPr>
              <w:pStyle w:val="ListBullet"/>
            </w:pPr>
            <w:r w:rsidRPr="008725A4">
              <w:t xml:space="preserve">workplace procedures relating to reporting and communication </w:t>
            </w:r>
          </w:p>
          <w:p w:rsidR="00000000" w:rsidRPr="008725A4" w:rsidP="008725A4">
            <w:pPr>
              <w:pStyle w:val="ListBullet"/>
            </w:pPr>
            <w:r w:rsidRPr="008725A4">
              <w:t>manufacturer specifications and operational procedures</w:t>
            </w:r>
          </w:p>
        </w:tc>
      </w:tr>
    </w:tbl>
    <w:p w:rsidR="00000000" w:rsidRPr="008725A4" w:rsidP="008725A4">
      <w:pPr>
        <w:pStyle w:val="BodyText"/>
      </w:pPr>
    </w:p>
    <w:p w:rsidR="00000000" w:rsidRPr="008725A4" w:rsidP="008725A4">
      <w:pPr>
        <w:pStyle w:val="AllowPageBreak"/>
      </w:pPr>
    </w:p>
    <w:p w:rsidR="00000000" w:rsidRPr="008725A4" w:rsidP="008725A4">
      <w:pPr>
        <w:pStyle w:val="Heading1"/>
      </w:pPr>
      <w:bookmarkStart w:id="9" w:name="O_621292"/>
      <w:bookmarkEnd w:id="9"/>
      <w:r w:rsidRPr="008725A4">
        <w:t>Unit Mapping Information</w:t>
      </w:r>
    </w:p>
    <w:p w:rsidR="00000000" w:rsidRPr="008725A4" w:rsidP="008725A4">
      <w:pPr>
        <w:pStyle w:val="BodyText"/>
      </w:pPr>
      <w:r w:rsidRPr="008725A4">
        <w:t>Supersedes and is equivalent to LMFSL2001B Assemble leadlight and stained glass components.</w:t>
      </w:r>
    </w:p>
    <w:p w:rsidR="00000000" w:rsidRPr="008725A4" w:rsidP="008725A4">
      <w:pPr>
        <w:pStyle w:val="AllowPageBreak"/>
      </w:pPr>
    </w:p>
    <w:p w:rsidR="00000000" w:rsidRPr="008725A4" w:rsidP="008725A4">
      <w:pPr>
        <w:pStyle w:val="Heading1"/>
      </w:pPr>
      <w:bookmarkStart w:id="10" w:name="O_621299"/>
      <w:bookmarkEnd w:id="10"/>
      <w:r w:rsidRPr="008725A4">
        <w:t>Links</w:t>
      </w:r>
    </w:p>
    <w:p w:rsidR="00000000" w:rsidRPr="008725A4" w:rsidP="008725A4">
      <w:pPr>
        <w:pStyle w:val="BodyText"/>
      </w:pPr>
      <w:r w:rsidRPr="008725A4">
        <w:t>Companion Volume implementation guides are</w:t>
      </w:r>
      <w:r w:rsidRPr="008725A4">
        <w:t xml:space="preserve"> found in VETNet - https://vetnet.education.gov.au/Pages/TrainingDocs.aspx?q=0601ab95-583a-4e93-b2d4-cfb27b03ed73</w:t>
      </w:r>
    </w:p>
    <w:p w:rsidR="00000000" w:rsidRPr="008725A4" w:rsidP="008725A4"/>
    <w:sectPr w:rsidSect="008725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5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5A4" w:rsidRPr="00767EF3" w:rsidP="00767E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5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EF3" w:rsidP="008725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67EF3" w:rsidP="008725A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67EF3" w:rsidP="008725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5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E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25A4" w:rsidRPr="00767EF3" w:rsidP="00767E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5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EF3" w:rsidRPr="002D2AF8" w:rsidP="008725A4">
    <w:pPr>
      <w:pStyle w:val="Header"/>
      <w:framePr w:wrap="around"/>
    </w:pPr>
    <w:r>
      <w:fldChar w:fldCharType="begin"/>
    </w:r>
    <w:r>
      <w:instrText xml:space="preserve"> TITLE   \* MERGEFORMAT </w:instrText>
    </w:r>
    <w:r>
      <w:fldChar w:fldCharType="separate"/>
    </w:r>
    <w:r>
      <w:t>MSFSL2001 Assemble leadlight and stained glass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767EF3" w:rsidP="008725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9EDC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14EF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C8B4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5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25A4"/>
    <w:pPr>
      <w:spacing w:before="360" w:after="60"/>
      <w:outlineLvl w:val="0"/>
    </w:pPr>
    <w:rPr>
      <w:sz w:val="32"/>
    </w:rPr>
  </w:style>
  <w:style w:type="paragraph" w:styleId="Heading2">
    <w:name w:val="heading 2"/>
    <w:basedOn w:val="HeadingBase"/>
    <w:next w:val="BodyText"/>
    <w:link w:val="Heading2Char"/>
    <w:qFormat/>
    <w:rsid w:val="008725A4"/>
    <w:pPr>
      <w:keepLines/>
      <w:spacing w:before="240" w:after="120"/>
      <w:outlineLvl w:val="1"/>
    </w:pPr>
    <w:rPr>
      <w:sz w:val="28"/>
      <w:szCs w:val="40"/>
    </w:rPr>
  </w:style>
  <w:style w:type="paragraph" w:styleId="Heading3">
    <w:name w:val="heading 3"/>
    <w:basedOn w:val="HeadingBase"/>
    <w:next w:val="BodyText"/>
    <w:link w:val="Heading3Char"/>
    <w:qFormat/>
    <w:rsid w:val="008725A4"/>
    <w:pPr>
      <w:spacing w:before="180" w:after="120"/>
      <w:outlineLvl w:val="2"/>
    </w:pPr>
    <w:rPr>
      <w:spacing w:val="-10"/>
      <w:kern w:val="32"/>
    </w:rPr>
  </w:style>
  <w:style w:type="paragraph" w:styleId="Heading4">
    <w:name w:val="heading 4"/>
    <w:basedOn w:val="HeadingBase"/>
    <w:next w:val="BodyText"/>
    <w:link w:val="Heading4Char"/>
    <w:qFormat/>
    <w:rsid w:val="008725A4"/>
    <w:pPr>
      <w:spacing w:before="160" w:after="120"/>
      <w:outlineLvl w:val="3"/>
    </w:pPr>
    <w:rPr>
      <w:sz w:val="22"/>
    </w:rPr>
  </w:style>
  <w:style w:type="paragraph" w:styleId="Heading5">
    <w:name w:val="heading 5"/>
    <w:basedOn w:val="HeadingBase"/>
    <w:next w:val="Normal"/>
    <w:link w:val="Heading5Char"/>
    <w:qFormat/>
    <w:rsid w:val="008725A4"/>
    <w:pPr>
      <w:spacing w:before="80"/>
      <w:outlineLvl w:val="4"/>
    </w:pPr>
    <w:rPr>
      <w:color w:val="918585"/>
      <w:sz w:val="20"/>
    </w:rPr>
  </w:style>
  <w:style w:type="paragraph" w:styleId="Heading6">
    <w:name w:val="heading 6"/>
    <w:basedOn w:val="HeadingBase"/>
    <w:next w:val="Normal"/>
    <w:link w:val="Heading6Char"/>
    <w:qFormat/>
    <w:rsid w:val="008725A4"/>
    <w:pPr>
      <w:spacing w:before="60"/>
      <w:outlineLvl w:val="5"/>
    </w:pPr>
    <w:rPr>
      <w:color w:val="918585"/>
      <w:sz w:val="20"/>
    </w:rPr>
  </w:style>
  <w:style w:type="paragraph" w:styleId="Heading7">
    <w:name w:val="heading 7"/>
    <w:basedOn w:val="Normal"/>
    <w:next w:val="Normal"/>
    <w:link w:val="Heading7Char"/>
    <w:qFormat/>
    <w:rsid w:val="008725A4"/>
    <w:pPr>
      <w:ind w:left="720"/>
      <w:outlineLvl w:val="6"/>
    </w:pPr>
    <w:rPr>
      <w:i/>
    </w:rPr>
  </w:style>
  <w:style w:type="paragraph" w:styleId="Heading8">
    <w:name w:val="heading 8"/>
    <w:basedOn w:val="Normal"/>
    <w:next w:val="Normal"/>
    <w:link w:val="Heading8Char"/>
    <w:qFormat/>
    <w:rsid w:val="008725A4"/>
    <w:pPr>
      <w:ind w:left="720"/>
      <w:outlineLvl w:val="7"/>
    </w:pPr>
    <w:rPr>
      <w:i/>
    </w:rPr>
  </w:style>
  <w:style w:type="paragraph" w:styleId="Heading9">
    <w:name w:val="heading 9"/>
    <w:basedOn w:val="Normal"/>
    <w:next w:val="Normal"/>
    <w:link w:val="Heading9Char"/>
    <w:qFormat/>
    <w:rsid w:val="008725A4"/>
    <w:pPr>
      <w:ind w:left="720"/>
      <w:outlineLvl w:val="8"/>
    </w:pPr>
    <w:rPr>
      <w:i/>
    </w:rPr>
  </w:style>
  <w:style w:type="character" w:default="1" w:styleId="DefaultParagraphFont">
    <w:name w:val="Default Paragraph Font"/>
    <w:uiPriority w:val="1"/>
    <w:unhideWhenUsed/>
    <w:rsid w:val="008725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25A4"/>
  </w:style>
  <w:style w:type="character" w:customStyle="1" w:styleId="Heading1Char">
    <w:name w:val="Heading 1 Char"/>
    <w:basedOn w:val="DefaultParagraphFont"/>
    <w:link w:val="Heading1"/>
    <w:rsid w:val="008725A4"/>
    <w:rPr>
      <w:rFonts w:ascii="Times New Roman" w:eastAsia="Times New Roman" w:hAnsi="Times New Roman" w:cs="Times New Roman"/>
      <w:b/>
      <w:sz w:val="32"/>
      <w:szCs w:val="20"/>
      <w:lang w:eastAsia="en-US"/>
    </w:rPr>
  </w:style>
  <w:style w:type="paragraph" w:styleId="BodyText">
    <w:name w:val="Body Text"/>
    <w:basedOn w:val="Normal"/>
    <w:link w:val="BodyTextChar"/>
    <w:rsid w:val="008725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25A4"/>
    <w:rPr>
      <w:rFonts w:ascii="Times New Roman" w:eastAsia="Times New Roman" w:hAnsi="Times New Roman" w:cs="Times New Roman"/>
      <w:sz w:val="24"/>
      <w:lang w:eastAsia="en-US"/>
    </w:rPr>
  </w:style>
  <w:style w:type="paragraph" w:styleId="ListBullet">
    <w:name w:val="List Bullet"/>
    <w:basedOn w:val="List"/>
    <w:rsid w:val="008725A4"/>
    <w:pPr>
      <w:numPr>
        <w:numId w:val="13"/>
      </w:numPr>
      <w:tabs>
        <w:tab w:val="clear" w:pos="340"/>
      </w:tabs>
      <w:spacing w:before="40" w:after="40"/>
    </w:pPr>
  </w:style>
  <w:style w:type="character" w:customStyle="1" w:styleId="SpecialBold">
    <w:name w:val="Special Bold"/>
    <w:basedOn w:val="DefaultParagraphFont"/>
    <w:rsid w:val="008725A4"/>
    <w:rPr>
      <w:b/>
      <w:spacing w:val="0"/>
    </w:rPr>
  </w:style>
  <w:style w:type="paragraph" w:styleId="ListBullet2">
    <w:name w:val="List Bullet 2"/>
    <w:basedOn w:val="List2"/>
    <w:rsid w:val="008725A4"/>
    <w:pPr>
      <w:numPr>
        <w:numId w:val="14"/>
      </w:numPr>
      <w:tabs>
        <w:tab w:val="clear" w:pos="680"/>
      </w:tabs>
    </w:pPr>
  </w:style>
  <w:style w:type="paragraph" w:customStyle="1" w:styleId="SuperHeading">
    <w:name w:val="SuperHeading"/>
    <w:basedOn w:val="Normal"/>
    <w:rsid w:val="008725A4"/>
    <w:pPr>
      <w:spacing w:before="240" w:after="120"/>
      <w:outlineLvl w:val="0"/>
    </w:pPr>
    <w:rPr>
      <w:rFonts w:ascii="Times New Roman" w:hAnsi="Times New Roman"/>
      <w:b/>
      <w:sz w:val="32"/>
    </w:rPr>
  </w:style>
  <w:style w:type="paragraph" w:customStyle="1" w:styleId="AllowPageBreak">
    <w:name w:val="AllowPageBreak"/>
    <w:rsid w:val="008725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25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25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25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25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25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25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25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25A4"/>
    <w:rPr>
      <w:rFonts w:ascii="Courier New" w:eastAsia="Times New Roman" w:hAnsi="Courier New" w:cs="Times New Roman"/>
      <w:i/>
      <w:szCs w:val="20"/>
      <w:lang w:eastAsia="en-US"/>
    </w:rPr>
  </w:style>
  <w:style w:type="paragraph" w:customStyle="1" w:styleId="HeadingBase">
    <w:name w:val="Heading Base"/>
    <w:rsid w:val="008725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25A4"/>
    <w:pPr>
      <w:tabs>
        <w:tab w:val="right" w:leader="dot" w:pos="9072"/>
      </w:tabs>
      <w:ind w:left="567"/>
    </w:pPr>
    <w:rPr>
      <w:szCs w:val="22"/>
    </w:rPr>
  </w:style>
  <w:style w:type="paragraph" w:customStyle="1" w:styleId="TOCBase">
    <w:name w:val="TOC Base"/>
    <w:rsid w:val="008725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25A4"/>
    <w:pPr>
      <w:tabs>
        <w:tab w:val="right" w:leader="dot" w:pos="9072"/>
      </w:tabs>
      <w:spacing w:before="40" w:after="40"/>
      <w:ind w:left="284"/>
    </w:pPr>
    <w:rPr>
      <w:rFonts w:ascii="Times New Roman" w:hAnsi="Times New Roman"/>
    </w:rPr>
  </w:style>
  <w:style w:type="paragraph" w:styleId="TOC1">
    <w:name w:val="toc 1"/>
    <w:basedOn w:val="TOCBase"/>
    <w:next w:val="Normal"/>
    <w:rsid w:val="008725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25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25A4"/>
    <w:rPr>
      <w:rFonts w:ascii="Times New Roman" w:eastAsia="Times New Roman" w:hAnsi="Times New Roman" w:cs="Times New Roman"/>
      <w:sz w:val="16"/>
      <w:lang w:eastAsia="en-US"/>
    </w:rPr>
  </w:style>
  <w:style w:type="paragraph" w:styleId="Title">
    <w:name w:val="Title"/>
    <w:basedOn w:val="HeadingBase"/>
    <w:link w:val="TitleChar"/>
    <w:qFormat/>
    <w:rsid w:val="008725A4"/>
    <w:pPr>
      <w:spacing w:before="5040"/>
      <w:jc w:val="center"/>
    </w:pPr>
    <w:rPr>
      <w:sz w:val="48"/>
      <w:szCs w:val="72"/>
      <w:lang w:val="en-US"/>
    </w:rPr>
  </w:style>
  <w:style w:type="character" w:customStyle="1" w:styleId="TitleChar">
    <w:name w:val="Title Char"/>
    <w:basedOn w:val="DefaultParagraphFont"/>
    <w:link w:val="Title"/>
    <w:rsid w:val="008725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25A4"/>
    <w:pPr>
      <w:tabs>
        <w:tab w:val="left" w:pos="3600"/>
        <w:tab w:val="left" w:pos="3958"/>
      </w:tabs>
    </w:pPr>
  </w:style>
  <w:style w:type="paragraph" w:styleId="List">
    <w:name w:val="List"/>
    <w:basedOn w:val="BodyText"/>
    <w:next w:val="BodyText"/>
    <w:rsid w:val="008725A4"/>
    <w:pPr>
      <w:tabs>
        <w:tab w:val="left" w:pos="340"/>
      </w:tabs>
      <w:spacing w:before="60" w:after="60"/>
      <w:ind w:left="340" w:hanging="340"/>
    </w:pPr>
  </w:style>
  <w:style w:type="paragraph" w:customStyle="1" w:styleId="Note">
    <w:name w:val="Note"/>
    <w:basedOn w:val="BodyText"/>
    <w:rsid w:val="008725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25A4"/>
    <w:pPr>
      <w:framePr w:wrap="auto" w:hAnchor="text" w:y="6049"/>
    </w:pPr>
    <w:rPr>
      <w:color w:val="000000"/>
      <w:sz w:val="40"/>
    </w:rPr>
  </w:style>
  <w:style w:type="paragraph" w:customStyle="1" w:styleId="TOCTitle">
    <w:name w:val="TOCTitle"/>
    <w:basedOn w:val="Heading1"/>
    <w:rsid w:val="008725A4"/>
    <w:pPr>
      <w:spacing w:after="240"/>
      <w:jc w:val="center"/>
      <w:outlineLvl w:val="9"/>
    </w:pPr>
    <w:rPr>
      <w:caps/>
    </w:rPr>
  </w:style>
  <w:style w:type="paragraph" w:customStyle="1" w:styleId="Version">
    <w:name w:val="Version"/>
    <w:rsid w:val="008725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25A4"/>
    <w:pPr>
      <w:keepNext w:val="0"/>
      <w:tabs>
        <w:tab w:val="right" w:pos="4176"/>
      </w:tabs>
      <w:ind w:left="198" w:hanging="198"/>
    </w:pPr>
    <w:rPr>
      <w:rFonts w:ascii="Garamond" w:hAnsi="Garamond"/>
    </w:rPr>
  </w:style>
  <w:style w:type="paragraph" w:styleId="IndexHeading">
    <w:name w:val="index heading"/>
    <w:basedOn w:val="Normal"/>
    <w:next w:val="Index1"/>
    <w:semiHidden/>
    <w:rsid w:val="008725A4"/>
    <w:pPr>
      <w:spacing w:before="120" w:after="120"/>
    </w:pPr>
    <w:rPr>
      <w:rFonts w:ascii="Arial" w:hAnsi="Arial"/>
      <w:b/>
      <w:color w:val="918585"/>
      <w:sz w:val="24"/>
    </w:rPr>
  </w:style>
  <w:style w:type="paragraph" w:styleId="Header">
    <w:name w:val="header"/>
    <w:basedOn w:val="Normal"/>
    <w:link w:val="HeaderChar"/>
    <w:rsid w:val="008725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25A4"/>
    <w:rPr>
      <w:rFonts w:ascii="Times New Roman" w:eastAsia="Times New Roman" w:hAnsi="Times New Roman" w:cs="Times New Roman"/>
      <w:sz w:val="16"/>
      <w:szCs w:val="20"/>
      <w:lang w:val="en-GB" w:eastAsia="en-US"/>
    </w:rPr>
  </w:style>
  <w:style w:type="paragraph" w:customStyle="1" w:styleId="Chapter">
    <w:name w:val="Chapter"/>
    <w:basedOn w:val="Normal"/>
    <w:rsid w:val="008725A4"/>
    <w:pPr>
      <w:spacing w:before="240"/>
    </w:pPr>
    <w:rPr>
      <w:rFonts w:ascii="Times New Roman" w:hAnsi="Times New Roman"/>
      <w:smallCaps/>
      <w:spacing w:val="80"/>
      <w:sz w:val="28"/>
    </w:rPr>
  </w:style>
  <w:style w:type="paragraph" w:customStyle="1" w:styleId="InChapter">
    <w:name w:val="InChapter"/>
    <w:basedOn w:val="Heading3"/>
    <w:rsid w:val="008725A4"/>
    <w:pPr>
      <w:spacing w:after="240"/>
      <w:outlineLvl w:val="9"/>
    </w:pPr>
    <w:rPr>
      <w:noProof/>
    </w:rPr>
  </w:style>
  <w:style w:type="paragraph" w:styleId="Index2">
    <w:name w:val="index 2"/>
    <w:basedOn w:val="Normal"/>
    <w:next w:val="Normal"/>
    <w:semiHidden/>
    <w:rsid w:val="008725A4"/>
    <w:pPr>
      <w:tabs>
        <w:tab w:val="right" w:pos="4176"/>
      </w:tabs>
      <w:ind w:left="568" w:hanging="284"/>
    </w:pPr>
    <w:rPr>
      <w:rFonts w:ascii="Garamond" w:hAnsi="Garamond"/>
    </w:rPr>
  </w:style>
  <w:style w:type="paragraph" w:customStyle="1" w:styleId="Byline">
    <w:name w:val="Byline"/>
    <w:rsid w:val="008725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25A4"/>
    <w:pPr>
      <w:tabs>
        <w:tab w:val="clear" w:pos="3600"/>
        <w:tab w:val="clear" w:pos="3958"/>
      </w:tabs>
      <w:jc w:val="right"/>
    </w:pPr>
  </w:style>
  <w:style w:type="character" w:styleId="Emphasis">
    <w:name w:val="Emphasis"/>
    <w:basedOn w:val="DefaultParagraphFont"/>
    <w:qFormat/>
    <w:rsid w:val="008725A4"/>
    <w:rPr>
      <w:i/>
    </w:rPr>
  </w:style>
  <w:style w:type="paragraph" w:styleId="Caption">
    <w:name w:val="caption"/>
    <w:basedOn w:val="BodyText"/>
    <w:next w:val="Normal"/>
    <w:qFormat/>
    <w:rsid w:val="008725A4"/>
    <w:pPr>
      <w:framePr w:w="2268" w:hSpace="181" w:vSpace="181" w:wrap="around" w:vAnchor="text" w:hAnchor="page" w:x="1135" w:y="285" w:anchorLock="1"/>
    </w:pPr>
    <w:rPr>
      <w:i/>
    </w:rPr>
  </w:style>
  <w:style w:type="paragraph" w:customStyle="1" w:styleId="MiniTOCTitle">
    <w:name w:val="MiniTOCTitle"/>
    <w:basedOn w:val="Heading4"/>
    <w:rsid w:val="008725A4"/>
    <w:pPr>
      <w:spacing w:before="240"/>
      <w:outlineLvl w:val="9"/>
    </w:pPr>
    <w:rPr>
      <w:noProof/>
      <w:sz w:val="24"/>
    </w:rPr>
  </w:style>
  <w:style w:type="paragraph" w:customStyle="1" w:styleId="MiniTOCItem">
    <w:name w:val="MiniTOCItem"/>
    <w:basedOn w:val="ListBullet"/>
    <w:rsid w:val="008725A4"/>
    <w:pPr>
      <w:numPr>
        <w:numId w:val="0"/>
      </w:numPr>
      <w:tabs>
        <w:tab w:val="right" w:leader="dot" w:pos="6521"/>
      </w:tabs>
      <w:spacing w:before="0" w:after="0"/>
    </w:pPr>
  </w:style>
  <w:style w:type="paragraph" w:customStyle="1" w:styleId="TOFTitle">
    <w:name w:val="TOFTitle"/>
    <w:basedOn w:val="TOCTitle"/>
    <w:rsid w:val="008725A4"/>
  </w:style>
  <w:style w:type="paragraph" w:styleId="TableofFigures">
    <w:name w:val="table of figures"/>
    <w:basedOn w:val="Normal"/>
    <w:next w:val="Normal"/>
    <w:semiHidden/>
    <w:rsid w:val="008725A4"/>
    <w:pPr>
      <w:tabs>
        <w:tab w:val="right" w:leader="dot" w:pos="9072"/>
      </w:tabs>
      <w:ind w:left="970" w:hanging="403"/>
    </w:pPr>
    <w:rPr>
      <w:rFonts w:ascii="Times New Roman" w:hAnsi="Times New Roman"/>
      <w:b/>
    </w:rPr>
  </w:style>
  <w:style w:type="paragraph" w:styleId="ListNumber">
    <w:name w:val="List Number"/>
    <w:basedOn w:val="List"/>
    <w:rsid w:val="008725A4"/>
    <w:pPr>
      <w:numPr>
        <w:numId w:val="11"/>
      </w:numPr>
    </w:pPr>
  </w:style>
  <w:style w:type="character" w:customStyle="1" w:styleId="WingdingSymbols">
    <w:name w:val="Wingding Symbols"/>
    <w:rsid w:val="008725A4"/>
    <w:rPr>
      <w:rFonts w:ascii="Wingdings" w:hAnsi="Wingdings"/>
    </w:rPr>
  </w:style>
  <w:style w:type="paragraph" w:customStyle="1" w:styleId="TableHeading">
    <w:name w:val="Table Heading"/>
    <w:basedOn w:val="HeadingBase"/>
    <w:rsid w:val="008725A4"/>
    <w:pPr>
      <w:keepLines/>
      <w:pBdr>
        <w:bottom w:val="single" w:sz="6" w:space="1" w:color="918585"/>
      </w:pBdr>
      <w:spacing w:before="240"/>
    </w:pPr>
  </w:style>
  <w:style w:type="character" w:customStyle="1" w:styleId="HotSpot">
    <w:name w:val="HotSpot"/>
    <w:rsid w:val="008725A4"/>
    <w:rPr>
      <w:color w:val="0033CC"/>
      <w:u w:val="none"/>
    </w:rPr>
  </w:style>
  <w:style w:type="paragraph" w:customStyle="1" w:styleId="BodyTextRight">
    <w:name w:val="Body Text Right"/>
    <w:basedOn w:val="BodyText"/>
    <w:rsid w:val="008725A4"/>
    <w:pPr>
      <w:spacing w:before="0" w:after="0"/>
      <w:jc w:val="right"/>
    </w:pPr>
  </w:style>
  <w:style w:type="paragraph" w:styleId="Index3">
    <w:name w:val="index 3"/>
    <w:basedOn w:val="ListNumber2"/>
    <w:next w:val="Normal"/>
    <w:semiHidden/>
    <w:rsid w:val="008725A4"/>
    <w:pPr>
      <w:numPr>
        <w:numId w:val="0"/>
      </w:numPr>
      <w:tabs>
        <w:tab w:val="right" w:leader="dot" w:pos="4176"/>
      </w:tabs>
    </w:pPr>
  </w:style>
  <w:style w:type="paragraph" w:styleId="ListNumber2">
    <w:name w:val="List Number 2"/>
    <w:basedOn w:val="List2"/>
    <w:rsid w:val="008725A4"/>
    <w:pPr>
      <w:numPr>
        <w:numId w:val="10"/>
      </w:numPr>
      <w:tabs>
        <w:tab w:val="clear" w:pos="1060"/>
      </w:tabs>
    </w:pPr>
  </w:style>
  <w:style w:type="paragraph" w:customStyle="1" w:styleId="MarginNote">
    <w:name w:val="Margin Note"/>
    <w:basedOn w:val="BodyText"/>
    <w:rsid w:val="008725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25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25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25A4"/>
    <w:rPr>
      <w:sz w:val="32"/>
    </w:rPr>
  </w:style>
  <w:style w:type="paragraph" w:customStyle="1" w:styleId="HeadingProcedure">
    <w:name w:val="Heading Procedure"/>
    <w:basedOn w:val="HeadingBase"/>
    <w:next w:val="Normal"/>
    <w:rsid w:val="008725A4"/>
    <w:pPr>
      <w:tabs>
        <w:tab w:val="left" w:pos="0"/>
      </w:tabs>
      <w:spacing w:before="120" w:after="60"/>
    </w:pPr>
    <w:rPr>
      <w:i/>
      <w:color w:val="918585"/>
      <w:sz w:val="22"/>
    </w:rPr>
  </w:style>
  <w:style w:type="paragraph" w:customStyle="1" w:styleId="TableBodyText">
    <w:name w:val="Table Body Text"/>
    <w:basedOn w:val="BodyText"/>
    <w:rsid w:val="008725A4"/>
    <w:pPr>
      <w:spacing w:before="60" w:after="60"/>
    </w:pPr>
  </w:style>
  <w:style w:type="paragraph" w:styleId="ListContinue">
    <w:name w:val="List Continue"/>
    <w:basedOn w:val="List"/>
    <w:rsid w:val="008725A4"/>
    <w:pPr>
      <w:ind w:firstLine="0"/>
    </w:pPr>
  </w:style>
  <w:style w:type="paragraph" w:customStyle="1" w:styleId="ListNote">
    <w:name w:val="List Note"/>
    <w:basedOn w:val="List"/>
    <w:rsid w:val="008725A4"/>
    <w:pPr>
      <w:pBdr>
        <w:top w:val="single" w:sz="6" w:space="2" w:color="918585"/>
        <w:bottom w:val="single" w:sz="6" w:space="2" w:color="918585"/>
      </w:pBdr>
      <w:tabs>
        <w:tab w:val="left" w:pos="1021"/>
      </w:tabs>
      <w:ind w:firstLine="0"/>
    </w:pPr>
  </w:style>
  <w:style w:type="paragraph" w:customStyle="1" w:styleId="Warning">
    <w:name w:val="Warning"/>
    <w:basedOn w:val="BodyText"/>
    <w:rsid w:val="008725A4"/>
    <w:pPr>
      <w:shd w:val="clear" w:color="auto" w:fill="D9D9D9"/>
      <w:tabs>
        <w:tab w:val="left" w:pos="992"/>
      </w:tabs>
      <w:ind w:left="119" w:right="119"/>
    </w:pPr>
    <w:rPr>
      <w:sz w:val="20"/>
    </w:rPr>
  </w:style>
  <w:style w:type="paragraph" w:customStyle="1" w:styleId="MarginIcons">
    <w:name w:val="Margin Icons"/>
    <w:basedOn w:val="BodyText"/>
    <w:rsid w:val="008725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25A4"/>
    <w:rPr>
      <w:rFonts w:ascii="Courier New" w:hAnsi="Courier New"/>
    </w:rPr>
  </w:style>
  <w:style w:type="paragraph" w:customStyle="1" w:styleId="NoteBullet">
    <w:name w:val="Note Bullet"/>
    <w:basedOn w:val="Note"/>
    <w:rsid w:val="008725A4"/>
    <w:pPr>
      <w:tabs>
        <w:tab w:val="clear" w:pos="680"/>
      </w:tabs>
      <w:spacing w:before="60" w:after="60"/>
    </w:pPr>
  </w:style>
  <w:style w:type="paragraph" w:customStyle="1" w:styleId="SubHeading2">
    <w:name w:val="SubHeading2"/>
    <w:basedOn w:val="HeadingBase"/>
    <w:rsid w:val="008725A4"/>
    <w:pPr>
      <w:spacing w:before="240" w:after="60"/>
    </w:pPr>
    <w:rPr>
      <w:sz w:val="20"/>
    </w:rPr>
  </w:style>
  <w:style w:type="paragraph" w:customStyle="1" w:styleId="SubHeading1">
    <w:name w:val="SubHeading1"/>
    <w:basedOn w:val="HeadingBase"/>
    <w:rsid w:val="008725A4"/>
    <w:pPr>
      <w:spacing w:before="240" w:after="60"/>
    </w:pPr>
    <w:rPr>
      <w:color w:val="918585"/>
      <w:sz w:val="22"/>
    </w:rPr>
  </w:style>
  <w:style w:type="paragraph" w:customStyle="1" w:styleId="SideHeading">
    <w:name w:val="Side Heading"/>
    <w:basedOn w:val="HeadingBase"/>
    <w:rsid w:val="008725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25A4"/>
    <w:pPr>
      <w:numPr>
        <w:numId w:val="12"/>
      </w:numPr>
    </w:pPr>
  </w:style>
  <w:style w:type="paragraph" w:styleId="PlainText">
    <w:name w:val="Plain Text"/>
    <w:basedOn w:val="Normal"/>
    <w:link w:val="PlainTextChar"/>
    <w:rsid w:val="008725A4"/>
    <w:rPr>
      <w:sz w:val="20"/>
    </w:rPr>
  </w:style>
  <w:style w:type="character" w:customStyle="1" w:styleId="PlainTextChar">
    <w:name w:val="Plain Text Char"/>
    <w:basedOn w:val="DefaultParagraphFont"/>
    <w:link w:val="PlainText"/>
    <w:rsid w:val="008725A4"/>
    <w:rPr>
      <w:rFonts w:ascii="Courier New" w:eastAsia="Times New Roman" w:hAnsi="Courier New" w:cs="Times New Roman"/>
      <w:sz w:val="20"/>
      <w:szCs w:val="20"/>
      <w:lang w:eastAsia="en-US"/>
    </w:rPr>
  </w:style>
  <w:style w:type="character" w:customStyle="1" w:styleId="MenuOption">
    <w:name w:val="Menu Option"/>
    <w:basedOn w:val="DefaultParagraphFont"/>
    <w:rsid w:val="008725A4"/>
    <w:rPr>
      <w:b/>
      <w:smallCaps/>
    </w:rPr>
  </w:style>
  <w:style w:type="paragraph" w:customStyle="1" w:styleId="TableListNumber">
    <w:name w:val="Table List Number"/>
    <w:basedOn w:val="ListNumber"/>
    <w:rsid w:val="008725A4"/>
    <w:pPr>
      <w:numPr>
        <w:numId w:val="0"/>
      </w:numPr>
    </w:pPr>
  </w:style>
  <w:style w:type="paragraph" w:styleId="TOC4">
    <w:name w:val="toc 4"/>
    <w:basedOn w:val="TOCBase"/>
    <w:next w:val="Normal"/>
    <w:semiHidden/>
    <w:rsid w:val="008725A4"/>
    <w:pPr>
      <w:tabs>
        <w:tab w:val="right" w:leader="dot" w:pos="9071"/>
      </w:tabs>
      <w:ind w:left="1701"/>
    </w:pPr>
  </w:style>
  <w:style w:type="paragraph" w:customStyle="1" w:styleId="ListAlpha">
    <w:name w:val="List Alpha"/>
    <w:basedOn w:val="List"/>
    <w:rsid w:val="008725A4"/>
    <w:pPr>
      <w:numPr>
        <w:numId w:val="9"/>
      </w:numPr>
    </w:pPr>
  </w:style>
  <w:style w:type="paragraph" w:customStyle="1" w:styleId="ListAlpha2">
    <w:name w:val="List Alpha 2"/>
    <w:basedOn w:val="List2"/>
    <w:rsid w:val="008725A4"/>
    <w:pPr>
      <w:numPr>
        <w:numId w:val="8"/>
      </w:numPr>
    </w:pPr>
  </w:style>
  <w:style w:type="paragraph" w:styleId="List2">
    <w:name w:val="List 2"/>
    <w:basedOn w:val="BodyText"/>
    <w:rsid w:val="008725A4"/>
    <w:pPr>
      <w:tabs>
        <w:tab w:val="left" w:pos="680"/>
      </w:tabs>
      <w:spacing w:before="60" w:after="60"/>
      <w:ind w:left="680" w:hanging="340"/>
    </w:pPr>
  </w:style>
  <w:style w:type="paragraph" w:styleId="List3">
    <w:name w:val="List 3"/>
    <w:basedOn w:val="BodyText"/>
    <w:rsid w:val="008725A4"/>
    <w:pPr>
      <w:tabs>
        <w:tab w:val="left" w:pos="1021"/>
      </w:tabs>
      <w:spacing w:before="60" w:after="60"/>
      <w:ind w:left="1020" w:hanging="340"/>
    </w:pPr>
  </w:style>
  <w:style w:type="paragraph" w:styleId="List4">
    <w:name w:val="List 4"/>
    <w:basedOn w:val="BodyText"/>
    <w:rsid w:val="008725A4"/>
    <w:pPr>
      <w:tabs>
        <w:tab w:val="left" w:pos="1361"/>
      </w:tabs>
      <w:spacing w:before="60" w:after="60"/>
      <w:ind w:left="1361" w:hanging="340"/>
    </w:pPr>
  </w:style>
  <w:style w:type="paragraph" w:styleId="List5">
    <w:name w:val="List 5"/>
    <w:basedOn w:val="BodyText"/>
    <w:rsid w:val="008725A4"/>
    <w:pPr>
      <w:tabs>
        <w:tab w:val="left" w:pos="1701"/>
      </w:tabs>
      <w:spacing w:before="60" w:after="60"/>
      <w:ind w:left="1701" w:hanging="340"/>
    </w:pPr>
  </w:style>
  <w:style w:type="paragraph" w:styleId="ListBullet3">
    <w:name w:val="List Bullet 3"/>
    <w:basedOn w:val="List3"/>
    <w:rsid w:val="008725A4"/>
    <w:pPr>
      <w:numPr>
        <w:numId w:val="15"/>
      </w:numPr>
      <w:tabs>
        <w:tab w:val="clear" w:pos="1021"/>
      </w:tabs>
      <w:ind w:left="1037" w:hanging="357"/>
    </w:pPr>
  </w:style>
  <w:style w:type="paragraph" w:styleId="ListBullet4">
    <w:name w:val="List Bullet 4"/>
    <w:basedOn w:val="List4"/>
    <w:rsid w:val="008725A4"/>
    <w:pPr>
      <w:numPr>
        <w:numId w:val="3"/>
      </w:numPr>
      <w:tabs>
        <w:tab w:val="clear" w:pos="1361"/>
      </w:tabs>
    </w:pPr>
  </w:style>
  <w:style w:type="paragraph" w:styleId="ListBullet5">
    <w:name w:val="List Bullet 5"/>
    <w:basedOn w:val="List5"/>
    <w:rsid w:val="008725A4"/>
    <w:pPr>
      <w:numPr>
        <w:numId w:val="4"/>
      </w:numPr>
    </w:pPr>
  </w:style>
  <w:style w:type="paragraph" w:styleId="ListContinue2">
    <w:name w:val="List Continue 2"/>
    <w:basedOn w:val="List2"/>
    <w:rsid w:val="008725A4"/>
    <w:pPr>
      <w:ind w:firstLine="0"/>
    </w:pPr>
  </w:style>
  <w:style w:type="paragraph" w:styleId="ListContinue3">
    <w:name w:val="List Continue 3"/>
    <w:basedOn w:val="List3"/>
    <w:rsid w:val="008725A4"/>
    <w:pPr>
      <w:ind w:left="1021" w:firstLine="0"/>
    </w:pPr>
  </w:style>
  <w:style w:type="paragraph" w:styleId="ListContinue4">
    <w:name w:val="List Continue 4"/>
    <w:basedOn w:val="List4"/>
    <w:rsid w:val="008725A4"/>
    <w:pPr>
      <w:ind w:firstLine="0"/>
    </w:pPr>
  </w:style>
  <w:style w:type="paragraph" w:styleId="ListContinue5">
    <w:name w:val="List Continue 5"/>
    <w:basedOn w:val="List5"/>
    <w:rsid w:val="008725A4"/>
    <w:pPr>
      <w:ind w:firstLine="0"/>
    </w:pPr>
  </w:style>
  <w:style w:type="paragraph" w:styleId="ListNumber3">
    <w:name w:val="List Number 3"/>
    <w:basedOn w:val="List3"/>
    <w:rsid w:val="008725A4"/>
    <w:pPr>
      <w:numPr>
        <w:numId w:val="5"/>
      </w:numPr>
    </w:pPr>
  </w:style>
  <w:style w:type="paragraph" w:styleId="ListNumber4">
    <w:name w:val="List Number 4"/>
    <w:basedOn w:val="List4"/>
    <w:rsid w:val="008725A4"/>
    <w:pPr>
      <w:numPr>
        <w:numId w:val="6"/>
      </w:numPr>
    </w:pPr>
  </w:style>
  <w:style w:type="paragraph" w:styleId="ListNumber5">
    <w:name w:val="List Number 5"/>
    <w:basedOn w:val="List5"/>
    <w:rsid w:val="008725A4"/>
    <w:pPr>
      <w:numPr>
        <w:numId w:val="7"/>
      </w:numPr>
    </w:pPr>
  </w:style>
  <w:style w:type="paragraph" w:styleId="BlockText">
    <w:name w:val="Block Text"/>
    <w:basedOn w:val="Normal"/>
    <w:rsid w:val="008725A4"/>
    <w:pPr>
      <w:spacing w:after="120"/>
      <w:ind w:left="1440" w:right="1440"/>
    </w:pPr>
  </w:style>
  <w:style w:type="character" w:customStyle="1" w:styleId="Subscript">
    <w:name w:val="Subscript"/>
    <w:basedOn w:val="DefaultParagraphFont"/>
    <w:rsid w:val="008725A4"/>
    <w:rPr>
      <w:sz w:val="16"/>
      <w:vertAlign w:val="subscript"/>
    </w:rPr>
  </w:style>
  <w:style w:type="character" w:customStyle="1" w:styleId="Superscript">
    <w:name w:val="Superscript"/>
    <w:basedOn w:val="DefaultParagraphFont"/>
    <w:rsid w:val="008725A4"/>
    <w:rPr>
      <w:sz w:val="16"/>
      <w:vertAlign w:val="superscript"/>
    </w:rPr>
  </w:style>
  <w:style w:type="character" w:customStyle="1" w:styleId="Symbols">
    <w:name w:val="Symbols"/>
    <w:basedOn w:val="DefaultParagraphFont"/>
    <w:rsid w:val="008725A4"/>
    <w:rPr>
      <w:rFonts w:ascii="Symbol" w:hAnsi="Symbol"/>
    </w:rPr>
  </w:style>
  <w:style w:type="character" w:customStyle="1" w:styleId="MenuOptions">
    <w:name w:val="Menu Options"/>
    <w:basedOn w:val="DefaultParagraphFont"/>
    <w:rsid w:val="008725A4"/>
    <w:rPr>
      <w:rFonts w:ascii="Arial Narrow" w:hAnsi="Arial Narrow"/>
      <w:smallCaps/>
    </w:rPr>
  </w:style>
  <w:style w:type="character" w:customStyle="1" w:styleId="Buttons">
    <w:name w:val="Buttons"/>
    <w:basedOn w:val="DefaultParagraphFont"/>
    <w:rsid w:val="008725A4"/>
    <w:rPr>
      <w:b/>
    </w:rPr>
  </w:style>
  <w:style w:type="character" w:customStyle="1" w:styleId="Underlined">
    <w:name w:val="Underlined"/>
    <w:basedOn w:val="DefaultParagraphFont"/>
    <w:rsid w:val="008725A4"/>
    <w:rPr>
      <w:u w:val="single"/>
    </w:rPr>
  </w:style>
  <w:style w:type="paragraph" w:customStyle="1" w:styleId="TableBodyTextRight">
    <w:name w:val="Table Body Text Right"/>
    <w:basedOn w:val="TableBodyText"/>
    <w:rsid w:val="008725A4"/>
    <w:pPr>
      <w:widowControl w:val="0"/>
      <w:autoSpaceDE w:val="0"/>
      <w:autoSpaceDN w:val="0"/>
      <w:adjustRightInd w:val="0"/>
      <w:jc w:val="right"/>
    </w:pPr>
    <w:rPr>
      <w:rFonts w:cs="Arial"/>
      <w:szCs w:val="18"/>
    </w:rPr>
  </w:style>
  <w:style w:type="paragraph" w:customStyle="1" w:styleId="CopyrightText">
    <w:name w:val="Copyright Text"/>
    <w:basedOn w:val="BodyText"/>
    <w:rsid w:val="008725A4"/>
    <w:rPr>
      <w:sz w:val="18"/>
    </w:rPr>
  </w:style>
  <w:style w:type="paragraph" w:customStyle="1" w:styleId="BodySmallRight">
    <w:name w:val="Body Small Right"/>
    <w:basedOn w:val="BodyTextRight"/>
    <w:rsid w:val="008725A4"/>
    <w:rPr>
      <w:sz w:val="18"/>
      <w:szCs w:val="18"/>
    </w:rPr>
  </w:style>
  <w:style w:type="paragraph" w:customStyle="1" w:styleId="MarginEdition">
    <w:name w:val="Margin Edition"/>
    <w:basedOn w:val="MarginNote"/>
    <w:rsid w:val="008725A4"/>
    <w:pPr>
      <w:spacing w:before="0" w:after="0"/>
    </w:pPr>
    <w:rPr>
      <w:rFonts w:ascii="Times New Roman" w:hAnsi="Times New Roman"/>
      <w:color w:val="999999"/>
    </w:rPr>
  </w:style>
  <w:style w:type="paragraph" w:customStyle="1" w:styleId="Spacer">
    <w:name w:val="Spacer"/>
    <w:basedOn w:val="Normal"/>
    <w:rsid w:val="008725A4"/>
    <w:rPr>
      <w:sz w:val="2"/>
      <w:szCs w:val="2"/>
    </w:rPr>
  </w:style>
  <w:style w:type="character" w:customStyle="1" w:styleId="Small">
    <w:name w:val="Small"/>
    <w:basedOn w:val="DefaultParagraphFont"/>
    <w:rsid w:val="008725A4"/>
    <w:rPr>
      <w:sz w:val="16"/>
    </w:rPr>
  </w:style>
  <w:style w:type="paragraph" w:customStyle="1" w:styleId="WideTable">
    <w:name w:val="Wide Table"/>
    <w:basedOn w:val="Normal"/>
    <w:rsid w:val="008725A4"/>
    <w:pPr>
      <w:ind w:left="-1418"/>
    </w:pPr>
    <w:rPr>
      <w:sz w:val="2"/>
      <w:szCs w:val="2"/>
    </w:rPr>
  </w:style>
  <w:style w:type="character" w:styleId="PageNumber">
    <w:name w:val="page number"/>
    <w:basedOn w:val="DefaultParagraphFont"/>
    <w:rsid w:val="008725A4"/>
  </w:style>
  <w:style w:type="paragraph" w:styleId="Quote">
    <w:name w:val="Quote"/>
    <w:basedOn w:val="Heading1"/>
    <w:link w:val="QuoteChar"/>
    <w:qFormat/>
    <w:rsid w:val="008725A4"/>
    <w:rPr>
      <w:b w:val="0"/>
      <w:sz w:val="72"/>
      <w:szCs w:val="72"/>
      <w:lang w:val="en-NZ"/>
    </w:rPr>
  </w:style>
  <w:style w:type="character" w:customStyle="1" w:styleId="QuoteChar">
    <w:name w:val="Quote Char"/>
    <w:basedOn w:val="DefaultParagraphFont"/>
    <w:link w:val="Quote"/>
    <w:rsid w:val="008725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25A4"/>
    <w:pPr>
      <w:pageBreakBefore/>
    </w:pPr>
  </w:style>
  <w:style w:type="paragraph" w:customStyle="1" w:styleId="Border">
    <w:name w:val="Border"/>
    <w:basedOn w:val="Normal"/>
    <w:qFormat/>
    <w:rsid w:val="008725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25A4"/>
    <w:rPr>
      <w:b/>
      <w:bCs/>
      <w:i/>
      <w:iCs/>
      <w:color w:val="auto"/>
    </w:rPr>
  </w:style>
  <w:style w:type="paragraph" w:styleId="IntenseQuote">
    <w:name w:val="Intense Quote"/>
    <w:basedOn w:val="Normal"/>
    <w:next w:val="Normal"/>
    <w:link w:val="IntenseQuoteChar"/>
    <w:uiPriority w:val="30"/>
    <w:qFormat/>
    <w:rsid w:val="008725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25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25A4"/>
    <w:rPr>
      <w:smallCaps/>
      <w:color w:val="auto"/>
      <w:u w:val="single"/>
    </w:rPr>
  </w:style>
  <w:style w:type="character" w:styleId="IntenseReference">
    <w:name w:val="Intense Reference"/>
    <w:basedOn w:val="DefaultParagraphFont"/>
    <w:uiPriority w:val="32"/>
    <w:qFormat/>
    <w:rsid w:val="008725A4"/>
    <w:rPr>
      <w:b/>
      <w:bCs/>
      <w:smallCaps/>
      <w:color w:val="auto"/>
      <w:spacing w:val="5"/>
      <w:u w:val="single"/>
    </w:rPr>
  </w:style>
  <w:style w:type="paragraph" w:customStyle="1" w:styleId="2ColumnHeading">
    <w:name w:val="2Column Heading"/>
    <w:basedOn w:val="BodyText"/>
    <w:qFormat/>
    <w:rsid w:val="008725A4"/>
    <w:pPr>
      <w:spacing w:after="60"/>
      <w:ind w:left="-2268"/>
    </w:pPr>
    <w:rPr>
      <w:b/>
    </w:rPr>
  </w:style>
  <w:style w:type="paragraph" w:customStyle="1" w:styleId="Heading1TOC">
    <w:name w:val="Heading1 TOC"/>
    <w:basedOn w:val="Normal"/>
    <w:qFormat/>
    <w:rsid w:val="008725A4"/>
    <w:pPr>
      <w:spacing w:before="240" w:after="120"/>
    </w:pPr>
    <w:rPr>
      <w:rFonts w:ascii="Times New Roman" w:hAnsi="Times New Roman"/>
      <w:b/>
      <w:sz w:val="32"/>
    </w:rPr>
  </w:style>
  <w:style w:type="paragraph" w:customStyle="1" w:styleId="Heading2TOC">
    <w:name w:val="Heading2 TOC"/>
    <w:basedOn w:val="Normal"/>
    <w:qFormat/>
    <w:rsid w:val="008725A4"/>
    <w:pPr>
      <w:spacing w:before="240" w:after="60"/>
    </w:pPr>
    <w:rPr>
      <w:rFonts w:ascii="Times New Roman" w:hAnsi="Times New Roman"/>
      <w:b/>
      <w:sz w:val="28"/>
    </w:rPr>
  </w:style>
  <w:style w:type="character" w:customStyle="1" w:styleId="Underline">
    <w:name w:val="Underline"/>
    <w:basedOn w:val="DefaultParagraphFont"/>
    <w:qFormat/>
    <w:rsid w:val="008725A4"/>
    <w:rPr>
      <w:u w:val="single"/>
    </w:rPr>
  </w:style>
  <w:style w:type="character" w:customStyle="1" w:styleId="BoldandItalics">
    <w:name w:val="Bold and Italics"/>
    <w:qFormat/>
    <w:rsid w:val="008725A4"/>
    <w:rPr>
      <w:b/>
      <w:i/>
      <w:u w:val="none"/>
    </w:rPr>
  </w:style>
  <w:style w:type="paragraph" w:styleId="BalloonText">
    <w:name w:val="Balloon Text"/>
    <w:basedOn w:val="Normal"/>
    <w:link w:val="BalloonTextChar"/>
    <w:rsid w:val="008725A4"/>
    <w:rPr>
      <w:rFonts w:ascii="Tahoma" w:hAnsi="Tahoma" w:cs="Tahoma"/>
      <w:sz w:val="16"/>
      <w:szCs w:val="16"/>
    </w:rPr>
  </w:style>
  <w:style w:type="character" w:customStyle="1" w:styleId="BalloonTextChar">
    <w:name w:val="Balloon Text Char"/>
    <w:basedOn w:val="DefaultParagraphFont"/>
    <w:link w:val="BalloonText"/>
    <w:rsid w:val="008725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25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25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25A4"/>
    <w:rPr>
      <w:b/>
      <w:color w:val="660033"/>
      <w:spacing w:val="0"/>
    </w:rPr>
  </w:style>
  <w:style w:type="paragraph" w:customStyle="1" w:styleId="Nameditemlist">
    <w:name w:val="Named item list"/>
    <w:basedOn w:val="BodyText"/>
    <w:qFormat/>
    <w:rsid w:val="008725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671</Words>
  <Characters>4350</Characters>
  <Application>Microsoft Office Word</Application>
  <DocSecurity>0</DocSecurity>
  <Lines>200</Lines>
  <Paragraphs>106</Paragraphs>
  <ScaleCrop>false</ScaleCrop>
  <Company>Author-it Software Corporation Ltd.</Company>
  <LinksUpToDate>false</LinksUpToDate>
  <CharactersWithSpaces>4974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MSFSL2001 Assemble leadlight and stained glass components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2016-12-09T04:17:00Z</dcterms:created>
  <dcterms:modified xsi:type="dcterms:W3CDTF">2016-12-09T04:17:00Z</dcterms:modified>
</cp:coreProperties>
</file>