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5AD5" w:rsidP="00425AD5">
      <w:pPr>
        <w:pStyle w:val="Title"/>
      </w:pPr>
      <w:r>
        <w:fldChar w:fldCharType="begin"/>
      </w:r>
      <w:r>
        <w:instrText xml:space="preserve"> TITLE   \* MERGEFORMAT </w:instrText>
      </w:r>
      <w:r>
        <w:fldChar w:fldCharType="separate"/>
      </w:r>
      <w:r>
        <w:t>MSFSF2014 Use soft furnishing sector hand and power tools</w:t>
      </w:r>
      <w:r>
        <w:fldChar w:fldCharType="end"/>
      </w:r>
    </w:p>
    <w:p w:rsidR="00425AD5" w:rsidP="00425AD5">
      <w:pPr>
        <w:pStyle w:val="Version"/>
        <w:sectPr w:rsidSect="00991A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1ACC" w:rsidP="00991ACC">
      <w:pPr>
        <w:pStyle w:val="SuperHeading"/>
      </w:pPr>
      <w:r w:rsidRPr="00991ACC">
        <w:t>MSFSF2014 Use soft furnishing sector hand and power tools</w:t>
      </w:r>
    </w:p>
    <w:p w:rsidR="00000000" w:rsidRPr="00991ACC" w:rsidP="00991ACC">
      <w:pPr>
        <w:pStyle w:val="Heading1"/>
      </w:pPr>
      <w:bookmarkStart w:id="1" w:name="O_622076"/>
      <w:bookmarkEnd w:id="1"/>
      <w:r w:rsidRPr="00991ACC">
        <w:t>Modification History</w:t>
      </w:r>
    </w:p>
    <w:p w:rsidR="00000000" w:rsidRPr="00991ACC" w:rsidP="00425AD5">
      <w:pPr>
        <w:pStyle w:val="BodyText"/>
      </w:pPr>
      <w:r w:rsidRPr="00991ACC">
        <w:t>Release 1 - New unit of competency</w:t>
      </w:r>
    </w:p>
    <w:p w:rsidR="00000000" w:rsidRPr="00991ACC" w:rsidP="00991ACC">
      <w:pPr>
        <w:pStyle w:val="Heading1"/>
      </w:pPr>
      <w:bookmarkStart w:id="2" w:name="O_622084"/>
      <w:bookmarkEnd w:id="2"/>
      <w:r w:rsidRPr="00991ACC">
        <w:t>Application</w:t>
      </w:r>
    </w:p>
    <w:p w:rsidR="00000000" w:rsidRPr="00991ACC" w:rsidP="00425AD5">
      <w:pPr>
        <w:pStyle w:val="BodyText"/>
      </w:pPr>
      <w:r w:rsidRPr="00991ACC">
        <w:t>This unit of competency covers selecting and using hand and power tools in applications relating to the soft furnishing sector of the furnishing industry.</w:t>
      </w:r>
    </w:p>
    <w:p w:rsidR="00000000" w:rsidRPr="00991ACC" w:rsidP="00425AD5">
      <w:pPr>
        <w:pStyle w:val="BodyText"/>
      </w:pPr>
      <w:r w:rsidRPr="00991ACC">
        <w:t>No licensing, legislative or certification requirements apply to this unit at the time of publication.</w:t>
      </w:r>
    </w:p>
    <w:p w:rsidR="00000000" w:rsidRPr="00991ACC" w:rsidP="00991ACC">
      <w:pPr>
        <w:pStyle w:val="Heading1"/>
      </w:pPr>
      <w:bookmarkStart w:id="3" w:name="O_622083"/>
      <w:bookmarkEnd w:id="3"/>
      <w:r w:rsidRPr="00991ACC">
        <w:t>Pre-requisite Unit</w:t>
      </w:r>
    </w:p>
    <w:p w:rsidR="00000000" w:rsidRPr="00991ACC" w:rsidP="00991ACC">
      <w:pPr>
        <w:pStyle w:val="Heading1"/>
      </w:pPr>
      <w:bookmarkStart w:id="4" w:name="O_622082"/>
      <w:bookmarkEnd w:id="4"/>
      <w:r w:rsidRPr="00991ACC">
        <w:t>Competency Field</w:t>
      </w:r>
    </w:p>
    <w:p w:rsidR="00000000" w:rsidRPr="00991ACC" w:rsidP="00991ACC">
      <w:pPr>
        <w:pStyle w:val="Heading1"/>
      </w:pPr>
      <w:bookmarkStart w:id="5" w:name="O_622081"/>
      <w:bookmarkEnd w:id="5"/>
      <w:r w:rsidRPr="00991ACC">
        <w:t>Unit Sector</w:t>
      </w:r>
    </w:p>
    <w:p w:rsidR="00000000" w:rsidRPr="00991ACC" w:rsidP="00425AD5">
      <w:pPr>
        <w:pStyle w:val="BodyText"/>
      </w:pPr>
      <w:r w:rsidRPr="00991ACC">
        <w:t>Soft Furnishing</w:t>
      </w:r>
    </w:p>
    <w:p w:rsidR="00000000" w:rsidRPr="00991ACC" w:rsidP="00991ACC">
      <w:pPr>
        <w:pStyle w:val="Heading1"/>
      </w:pPr>
      <w:bookmarkStart w:id="6" w:name="O_622080"/>
      <w:bookmarkEnd w:id="6"/>
      <w:r w:rsidRPr="00991ACC">
        <w:t>Elements and Performan</w:t>
      </w:r>
      <w:r w:rsidRPr="00991ACC">
        <w:t>ce Criteria</w:t>
      </w:r>
    </w:p>
    <w:tbl>
      <w:tblPr>
        <w:tblW w:w="9286" w:type="dxa"/>
        <w:tblLayout w:type="fixed"/>
        <w:tblCellMar>
          <w:left w:w="62" w:type="dxa"/>
          <w:right w:w="62" w:type="dxa"/>
        </w:tblCellMar>
        <w:tblLook w:val="0000"/>
      </w:tblPr>
      <w:tblGrid>
        <w:gridCol w:w="540"/>
        <w:gridCol w:w="2231"/>
        <w:gridCol w:w="675"/>
        <w:gridCol w:w="5840"/>
      </w:tblGrid>
      <w:tr w:rsidTr="00991ACC">
        <w:tblPrEx>
          <w:tblW w:w="9286" w:type="dxa"/>
          <w:tblLayout w:type="fixed"/>
          <w:tblCellMar>
            <w:left w:w="62" w:type="dxa"/>
            <w:right w:w="62" w:type="dxa"/>
          </w:tblCellMar>
          <w:tblLook w:val="0000"/>
        </w:tblPrEx>
        <w:tc>
          <w:tcPr>
            <w:tcW w:w="2771" w:type="dxa"/>
            <w:gridSpan w:val="2"/>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t>Elements describe the essential outcomes.</w:t>
            </w:r>
          </w:p>
        </w:tc>
        <w:tc>
          <w:tcPr>
            <w:tcW w:w="6515" w:type="dxa"/>
            <w:gridSpan w:val="2"/>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t>Performance criteria describe the performance needed to demonstrate achievement of the element.</w:t>
            </w:r>
          </w:p>
        </w:tc>
      </w:tr>
      <w:tr w:rsidTr="00991AC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t>1</w:t>
            </w:r>
          </w:p>
        </w:tc>
        <w:tc>
          <w:tcPr>
            <w:tcW w:w="2231" w:type="dxa"/>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t>Identify hand and power tools</w:t>
            </w:r>
          </w:p>
        </w:tc>
        <w:tc>
          <w:tcPr>
            <w:tcW w:w="675" w:type="dxa"/>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t>1.1</w:t>
            </w:r>
          </w:p>
        </w:tc>
        <w:tc>
          <w:tcPr>
            <w:tcW w:w="5840" w:type="dxa"/>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t>Types of hand and power tools and their functions are identified</w:t>
            </w:r>
          </w:p>
        </w:tc>
      </w:tr>
      <w:tr w:rsidTr="00991AC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5" w:type="dxa"/>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t>1.2</w:t>
            </w:r>
          </w:p>
        </w:tc>
        <w:tc>
          <w:tcPr>
            <w:tcW w:w="5840" w:type="dxa"/>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t>Sources of power supply are recognised</w:t>
            </w:r>
          </w:p>
        </w:tc>
      </w:tr>
      <w:tr w:rsidTr="00991AC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5" w:type="dxa"/>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t>1.3</w:t>
            </w:r>
          </w:p>
        </w:tc>
        <w:tc>
          <w:tcPr>
            <w:tcW w:w="5840" w:type="dxa"/>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t>Work health and safety (WHS) requirements for using hand and power tools are recognised and adhered to</w:t>
            </w:r>
          </w:p>
        </w:tc>
      </w:tr>
      <w:tr w:rsidTr="00991AC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t>2</w:t>
            </w:r>
          </w:p>
        </w:tc>
        <w:tc>
          <w:tcPr>
            <w:tcW w:w="2231" w:type="dxa"/>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t>Select and use hand tools</w:t>
            </w:r>
          </w:p>
        </w:tc>
        <w:tc>
          <w:tcPr>
            <w:tcW w:w="675" w:type="dxa"/>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t>2.1</w:t>
            </w:r>
          </w:p>
        </w:tc>
        <w:tc>
          <w:tcPr>
            <w:tcW w:w="5840" w:type="dxa"/>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t>Hand tools are selected consistent with the needs of the job</w:t>
            </w:r>
          </w:p>
        </w:tc>
      </w:tr>
      <w:tr w:rsidTr="00991AC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5" w:type="dxa"/>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t>2.2</w:t>
            </w:r>
          </w:p>
        </w:tc>
        <w:tc>
          <w:tcPr>
            <w:tcW w:w="5840" w:type="dxa"/>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t>Tools are checked for serviceability and safety and any faults are corrected or processed for repair</w:t>
            </w:r>
          </w:p>
        </w:tc>
      </w:tr>
      <w:tr w:rsidTr="00991AC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5" w:type="dxa"/>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t>2.3</w:t>
            </w:r>
          </w:p>
        </w:tc>
        <w:tc>
          <w:tcPr>
            <w:tcW w:w="5840" w:type="dxa"/>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t>Equipment is selected to hold or support material for hand tool application, where applicable</w:t>
            </w:r>
          </w:p>
        </w:tc>
      </w:tr>
      <w:tr w:rsidTr="00991AC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5" w:type="dxa"/>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t>2.4</w:t>
            </w:r>
          </w:p>
        </w:tc>
        <w:tc>
          <w:tcPr>
            <w:tcW w:w="5840" w:type="dxa"/>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t>Material is located and held in position for ha</w:t>
            </w:r>
            <w:r w:rsidRPr="00991ACC">
              <w:t>nd tool application</w:t>
            </w:r>
          </w:p>
        </w:tc>
      </w:tr>
      <w:tr w:rsidTr="00991AC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5" w:type="dxa"/>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t>2.5</w:t>
            </w:r>
          </w:p>
        </w:tc>
        <w:tc>
          <w:tcPr>
            <w:tcW w:w="5840" w:type="dxa"/>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t>Hand tools are safely and effectively used according to their intended use</w:t>
            </w:r>
          </w:p>
        </w:tc>
      </w:tr>
      <w:tr w:rsidTr="00991AC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5" w:type="dxa"/>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t>2.6</w:t>
            </w:r>
          </w:p>
        </w:tc>
        <w:tc>
          <w:tcPr>
            <w:tcW w:w="5840" w:type="dxa"/>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t>Hand tools are safely located when not in immediate use</w:t>
            </w:r>
          </w:p>
        </w:tc>
      </w:tr>
      <w:tr w:rsidTr="00991AC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t>3</w:t>
            </w:r>
          </w:p>
        </w:tc>
        <w:tc>
          <w:tcPr>
            <w:tcW w:w="2231" w:type="dxa"/>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t>Select and use power tools</w:t>
            </w:r>
          </w:p>
        </w:tc>
        <w:tc>
          <w:tcPr>
            <w:tcW w:w="675" w:type="dxa"/>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t>3.1</w:t>
            </w:r>
          </w:p>
        </w:tc>
        <w:tc>
          <w:tcPr>
            <w:tcW w:w="5840" w:type="dxa"/>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t>Appropriate personal protective equipment is selected, correctly fitted and used</w:t>
            </w:r>
          </w:p>
        </w:tc>
      </w:tr>
      <w:tr w:rsidTr="00991AC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5" w:type="dxa"/>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t>3.2</w:t>
            </w:r>
          </w:p>
        </w:tc>
        <w:tc>
          <w:tcPr>
            <w:tcW w:w="5840" w:type="dxa"/>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t>Power tools are selected consistent with the needs of the job in accordance with conventional work practice</w:t>
            </w:r>
          </w:p>
        </w:tc>
      </w:tr>
      <w:tr w:rsidTr="00991AC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5" w:type="dxa"/>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t>3.3</w:t>
            </w:r>
          </w:p>
        </w:tc>
        <w:tc>
          <w:tcPr>
            <w:tcW w:w="5840" w:type="dxa"/>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t>Power tools are visually checked for serviceability/s</w:t>
            </w:r>
            <w:r w:rsidRPr="00991ACC">
              <w:t>afety in accordance with WHS requirements and any faults are corrected or processed for repair</w:t>
            </w:r>
          </w:p>
        </w:tc>
      </w:tr>
      <w:tr w:rsidTr="00991AC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5" w:type="dxa"/>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t>3.4</w:t>
            </w:r>
          </w:p>
        </w:tc>
        <w:tc>
          <w:tcPr>
            <w:tcW w:w="5840" w:type="dxa"/>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t>Equipment is selected to hold or support materials for power tool application, where applicable</w:t>
            </w:r>
          </w:p>
        </w:tc>
      </w:tr>
      <w:tr w:rsidTr="00991AC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5" w:type="dxa"/>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t>3.5</w:t>
            </w:r>
          </w:p>
        </w:tc>
        <w:tc>
          <w:tcPr>
            <w:tcW w:w="5840" w:type="dxa"/>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t>Material is located and held in position for power tool application where applicable</w:t>
            </w:r>
          </w:p>
        </w:tc>
      </w:tr>
      <w:tr w:rsidTr="00991AC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5" w:type="dxa"/>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t>3.6</w:t>
            </w:r>
          </w:p>
        </w:tc>
        <w:tc>
          <w:tcPr>
            <w:tcW w:w="5840" w:type="dxa"/>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t>Power tools are safely and effectively used in application processes</w:t>
            </w:r>
          </w:p>
        </w:tc>
      </w:tr>
      <w:tr w:rsidTr="00991AC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5" w:type="dxa"/>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t>3.7</w:t>
            </w:r>
          </w:p>
        </w:tc>
        <w:tc>
          <w:tcPr>
            <w:tcW w:w="5840" w:type="dxa"/>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t>Power tools are safely located when not in use</w:t>
            </w:r>
          </w:p>
        </w:tc>
      </w:tr>
      <w:tr w:rsidTr="00991AC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t>4</w:t>
            </w:r>
          </w:p>
        </w:tc>
        <w:tc>
          <w:tcPr>
            <w:tcW w:w="2231" w:type="dxa"/>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t>Clean up work area and tools</w:t>
            </w:r>
          </w:p>
        </w:tc>
        <w:tc>
          <w:tcPr>
            <w:tcW w:w="675" w:type="dxa"/>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t>4.1</w:t>
            </w:r>
          </w:p>
        </w:tc>
        <w:tc>
          <w:tcPr>
            <w:tcW w:w="5840" w:type="dxa"/>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t>All tools are cleaned, maintained and stored</w:t>
            </w:r>
          </w:p>
        </w:tc>
      </w:tr>
      <w:tr w:rsidTr="00991AC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5" w:type="dxa"/>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t>4.2</w:t>
            </w:r>
          </w:p>
        </w:tc>
        <w:tc>
          <w:tcPr>
            <w:tcW w:w="5840" w:type="dxa"/>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t>Equipment is cleaned, maintained and stored</w:t>
            </w:r>
          </w:p>
        </w:tc>
      </w:tr>
      <w:tr w:rsidTr="00991AC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5" w:type="dxa"/>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t>4.3</w:t>
            </w:r>
          </w:p>
        </w:tc>
        <w:tc>
          <w:tcPr>
            <w:tcW w:w="5840" w:type="dxa"/>
            <w:tcBorders>
              <w:top w:val="nil"/>
              <w:left w:val="nil"/>
              <w:bottom w:val="nil"/>
              <w:right w:val="nil"/>
            </w:tcBorders>
            <w:tcMar>
              <w:top w:w="0" w:type="dxa"/>
              <w:left w:w="62" w:type="dxa"/>
              <w:bottom w:w="0" w:type="dxa"/>
              <w:right w:w="62" w:type="dxa"/>
            </w:tcMar>
          </w:tcPr>
          <w:p w:rsidR="00000000" w:rsidRPr="00991ACC" w:rsidP="00991ACC">
            <w:pPr>
              <w:pStyle w:val="BodyText"/>
            </w:pPr>
            <w:r w:rsidRPr="00991ACC">
              <w:t>Work area is cleared and waste removed</w:t>
            </w:r>
          </w:p>
        </w:tc>
      </w:tr>
    </w:tbl>
    <w:p w:rsidR="00000000" w:rsidRPr="00991ACC" w:rsidP="00991ACC">
      <w:pPr>
        <w:pStyle w:val="BodyText"/>
      </w:pPr>
    </w:p>
    <w:p w:rsidR="00000000" w:rsidRPr="00991ACC" w:rsidP="00991ACC">
      <w:pPr>
        <w:pStyle w:val="AllowPageBreak"/>
      </w:pPr>
    </w:p>
    <w:p w:rsidR="00000000" w:rsidRPr="00991ACC" w:rsidP="00991ACC">
      <w:pPr>
        <w:pStyle w:val="Heading1"/>
      </w:pPr>
      <w:bookmarkStart w:id="7" w:name="O_622079"/>
      <w:bookmarkEnd w:id="7"/>
      <w:r w:rsidRPr="00991ACC">
        <w:t>Foundation Skills</w:t>
      </w:r>
    </w:p>
    <w:p w:rsidR="00000000" w:rsidRPr="00991ACC" w:rsidP="00425AD5">
      <w:pPr>
        <w:pStyle w:val="BodyText"/>
      </w:pPr>
      <w:r w:rsidRPr="00991ACC">
        <w:t>Foundation skills essential to performance are explicit in the performance cr</w:t>
      </w:r>
      <w:r w:rsidRPr="00991ACC">
        <w:t>iteria of this unit of competency. Detail on appropriate performance levels for each furnishing unit of competency in reading, writing, oral communication and numeracy utilising the Australian Core Skills Framework (ACSF) are provided in the Furnishing Tra</w:t>
      </w:r>
      <w:r w:rsidRPr="00991ACC">
        <w:t>ining Package Implementation Guide.</w:t>
      </w:r>
    </w:p>
    <w:p w:rsidR="00000000" w:rsidRPr="00991ACC" w:rsidP="00991ACC">
      <w:pPr>
        <w:pStyle w:val="Heading1"/>
      </w:pPr>
      <w:bookmarkStart w:id="8" w:name="O_622078"/>
      <w:bookmarkEnd w:id="8"/>
      <w:r w:rsidRPr="00991ACC">
        <w:t>Range of Conditions</w:t>
      </w:r>
    </w:p>
    <w:tbl>
      <w:tblPr>
        <w:tblW w:w="0" w:type="auto"/>
        <w:tblLayout w:type="fixed"/>
        <w:tblCellMar>
          <w:left w:w="62" w:type="dxa"/>
          <w:right w:w="62" w:type="dxa"/>
        </w:tblCellMar>
        <w:tblLook w:val="0000"/>
      </w:tblPr>
      <w:tblGrid>
        <w:gridCol w:w="2760"/>
        <w:gridCol w:w="6312"/>
      </w:tblGrid>
      <w:tr w:rsidTr="00991AC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t>Specifies different work environments and conditions that may affect performance. Essential operating conditions that may be present (depending on the work situation, needs of the can</w:t>
            </w:r>
            <w:r w:rsidRPr="00991ACC">
              <w:t>didate, accessibility of the item, and local industry and regional contexts) are included. Range is restricted to essential operating conditions and any other variables essential to the work environment.</w:t>
            </w:r>
          </w:p>
        </w:tc>
      </w:tr>
      <w:tr w:rsidTr="00991AC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91ACC" w:rsidP="00991ACC">
            <w:pPr>
              <w:pStyle w:val="ListBullet"/>
            </w:pPr>
            <w:r w:rsidRPr="00991ACC">
              <w:t xml:space="preserve">WHS requirements, including legislation, building codes, material safety management systems, hazardous and dangerous goods codes, and local safe operating procedures or equivalent </w:t>
            </w:r>
          </w:p>
          <w:p w:rsidR="00000000" w:rsidRPr="00991ACC" w:rsidP="00991ACC">
            <w:pPr>
              <w:pStyle w:val="ListBullet"/>
            </w:pPr>
            <w:r w:rsidRPr="00991ACC">
              <w:t>work is carried out in accordance with legislative obligations, environment</w:t>
            </w:r>
            <w:r w:rsidRPr="00991ACC">
              <w:t>al legislation, relevant health regulations, manual handling procedures and organisation insurance requirements</w:t>
            </w:r>
          </w:p>
          <w:p w:rsidR="00000000" w:rsidP="00991ACC">
            <w:pPr>
              <w:pStyle w:val="ListBullet"/>
              <w:rPr>
                <w:lang w:val="en-NZ"/>
              </w:rPr>
            </w:pPr>
            <w:r w:rsidRPr="00991ACC">
              <w:t xml:space="preserve">work requires individuals to demonstrate some discretion, judgement and problem solving </w:t>
            </w:r>
          </w:p>
        </w:tc>
      </w:tr>
      <w:tr w:rsidTr="00991AC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91ACC" w:rsidP="00991ACC">
            <w:pPr>
              <w:pStyle w:val="BodyText"/>
            </w:pPr>
            <w:r w:rsidRPr="00991ACC">
              <w:rPr>
                <w:rStyle w:val="SpecialBold"/>
              </w:rPr>
              <w:t>Hand tools include:</w:t>
            </w:r>
          </w:p>
          <w:p w:rsidR="00000000" w:rsidP="00991AC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91ACC" w:rsidP="00991ACC">
            <w:pPr>
              <w:pStyle w:val="ListBullet"/>
            </w:pPr>
            <w:r w:rsidRPr="00991ACC">
              <w:t>scissors</w:t>
            </w:r>
          </w:p>
          <w:p w:rsidR="00000000" w:rsidRPr="00991ACC" w:rsidP="00991ACC">
            <w:pPr>
              <w:pStyle w:val="ListBullet"/>
            </w:pPr>
            <w:r w:rsidRPr="00991ACC">
              <w:t>cutting blades</w:t>
            </w:r>
          </w:p>
          <w:p w:rsidR="00000000" w:rsidRPr="00991ACC" w:rsidP="00991ACC">
            <w:pPr>
              <w:pStyle w:val="ListBullet"/>
            </w:pPr>
            <w:r w:rsidRPr="00991ACC">
              <w:t>tape measures</w:t>
            </w:r>
          </w:p>
          <w:p w:rsidR="00000000" w:rsidRPr="00991ACC" w:rsidP="00991ACC">
            <w:pPr>
              <w:pStyle w:val="ListBullet"/>
            </w:pPr>
            <w:r w:rsidRPr="00991ACC">
              <w:t>rulers</w:t>
            </w:r>
          </w:p>
          <w:p w:rsidR="00000000" w:rsidRPr="00991ACC" w:rsidP="00991ACC">
            <w:pPr>
              <w:pStyle w:val="ListBullet"/>
            </w:pPr>
            <w:r w:rsidRPr="00991ACC">
              <w:t>hammers</w:t>
            </w:r>
          </w:p>
          <w:p w:rsidR="00000000" w:rsidP="00991ACC">
            <w:pPr>
              <w:pStyle w:val="ListBullet"/>
              <w:rPr>
                <w:lang w:val="en-NZ"/>
              </w:rPr>
            </w:pPr>
            <w:r w:rsidRPr="00991ACC">
              <w:t>staple guns and screwdrivers</w:t>
            </w:r>
          </w:p>
        </w:tc>
      </w:tr>
      <w:tr w:rsidTr="00991AC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91ACC" w:rsidP="00991ACC">
            <w:pPr>
              <w:pStyle w:val="BodyText"/>
            </w:pPr>
            <w:r w:rsidRPr="00991ACC">
              <w:rPr>
                <w:rStyle w:val="SpecialBold"/>
              </w:rPr>
              <w:t>Power tools include:</w:t>
            </w:r>
          </w:p>
          <w:p w:rsidR="00000000" w:rsidP="00991AC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91ACC" w:rsidP="00991ACC">
            <w:pPr>
              <w:pStyle w:val="ListBullet"/>
            </w:pPr>
            <w:r w:rsidRPr="00991ACC">
              <w:t>drills</w:t>
            </w:r>
          </w:p>
          <w:p w:rsidR="00000000" w:rsidRPr="00991ACC" w:rsidP="00991ACC">
            <w:pPr>
              <w:pStyle w:val="ListBullet"/>
            </w:pPr>
            <w:r w:rsidRPr="00991ACC">
              <w:t>screwdrivers</w:t>
            </w:r>
          </w:p>
          <w:p w:rsidR="00000000" w:rsidRPr="00991ACC" w:rsidP="00991ACC">
            <w:pPr>
              <w:pStyle w:val="ListBullet"/>
            </w:pPr>
            <w:r w:rsidRPr="00991ACC">
              <w:t xml:space="preserve">staple guns </w:t>
            </w:r>
          </w:p>
          <w:p w:rsidR="00000000" w:rsidRPr="00991ACC" w:rsidP="00991ACC">
            <w:pPr>
              <w:pStyle w:val="ListBullet"/>
            </w:pPr>
            <w:r w:rsidRPr="00991ACC">
              <w:t xml:space="preserve">pressing equipment </w:t>
            </w:r>
          </w:p>
          <w:p w:rsidR="00000000" w:rsidP="00991ACC">
            <w:pPr>
              <w:pStyle w:val="ListBullet"/>
              <w:rPr>
                <w:lang w:val="en-NZ"/>
              </w:rPr>
            </w:pPr>
            <w:r w:rsidRPr="00991ACC">
              <w:t>others as required by enterprises</w:t>
            </w:r>
          </w:p>
        </w:tc>
      </w:tr>
      <w:tr w:rsidTr="00991AC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rPr>
                <w:rStyle w:val="SpecialBold"/>
              </w:rPr>
              <w:t>Fault reporting includes:</w:t>
            </w:r>
          </w:p>
        </w:tc>
        <w:tc>
          <w:tcPr>
            <w:tcW w:w="6312" w:type="dxa"/>
            <w:tcBorders>
              <w:top w:val="nil"/>
              <w:left w:val="nil"/>
              <w:bottom w:val="nil"/>
              <w:right w:val="nil"/>
            </w:tcBorders>
            <w:tcMar>
              <w:top w:w="0" w:type="dxa"/>
              <w:left w:w="62" w:type="dxa"/>
              <w:bottom w:w="0" w:type="dxa"/>
              <w:right w:w="62" w:type="dxa"/>
            </w:tcMar>
          </w:tcPr>
          <w:p w:rsidR="00000000" w:rsidP="00991ACC">
            <w:pPr>
              <w:pStyle w:val="ListBullet"/>
              <w:rPr>
                <w:lang w:val="en-NZ"/>
              </w:rPr>
            </w:pPr>
            <w:r w:rsidRPr="00991ACC">
              <w:t>verbal or written reporting</w:t>
            </w:r>
          </w:p>
        </w:tc>
      </w:tr>
      <w:tr w:rsidTr="00991AC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991ACC">
            <w:pPr>
              <w:pStyle w:val="ListBullet"/>
              <w:rPr>
                <w:lang w:val="en-NZ"/>
              </w:rPr>
            </w:pPr>
            <w:r w:rsidRPr="00991ACC">
              <w:t xml:space="preserve">that prescribed under legislation, regulations and enterprise policies and practices </w:t>
            </w:r>
          </w:p>
        </w:tc>
      </w:tr>
      <w:tr w:rsidTr="00991AC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91ACC">
            <w:pPr>
              <w:pStyle w:val="BodyText"/>
              <w:rPr>
                <w:lang w:val="en-NZ"/>
              </w:rPr>
            </w:pPr>
            <w:r w:rsidRPr="00991ACC">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991ACC" w:rsidP="00991ACC">
            <w:pPr>
              <w:pStyle w:val="ListBullet"/>
            </w:pPr>
            <w:r w:rsidRPr="00991ACC">
              <w:t xml:space="preserve">workplace procedures relating to the use of tools and equipment </w:t>
            </w:r>
          </w:p>
          <w:p w:rsidR="00000000" w:rsidRPr="00991ACC" w:rsidP="00991ACC">
            <w:pPr>
              <w:pStyle w:val="ListBullet"/>
            </w:pPr>
            <w:r w:rsidRPr="00991ACC">
              <w:t>work instructions, includi</w:t>
            </w:r>
            <w:r w:rsidRPr="00991ACC">
              <w:t xml:space="preserve">ng job sheets, cutting lists, plans, drawings and designs </w:t>
            </w:r>
          </w:p>
          <w:p w:rsidR="00000000" w:rsidRPr="00991ACC" w:rsidP="00991ACC">
            <w:pPr>
              <w:pStyle w:val="ListBullet"/>
            </w:pPr>
            <w:r w:rsidRPr="00991ACC">
              <w:t xml:space="preserve">workplace procedures relating to reporting and communication </w:t>
            </w:r>
          </w:p>
          <w:p w:rsidR="00000000" w:rsidRPr="00991ACC" w:rsidP="00991ACC">
            <w:pPr>
              <w:pStyle w:val="ListBullet"/>
            </w:pPr>
            <w:r w:rsidRPr="00991ACC">
              <w:t>manufacturer specifications and operational procedures</w:t>
            </w:r>
          </w:p>
        </w:tc>
      </w:tr>
    </w:tbl>
    <w:p w:rsidR="00000000" w:rsidRPr="00991ACC" w:rsidP="00991ACC">
      <w:pPr>
        <w:pStyle w:val="BodyText"/>
      </w:pPr>
    </w:p>
    <w:p w:rsidR="00000000" w:rsidRPr="00991ACC" w:rsidP="00991ACC">
      <w:pPr>
        <w:pStyle w:val="AllowPageBreak"/>
      </w:pPr>
    </w:p>
    <w:p w:rsidR="00000000" w:rsidRPr="00991ACC" w:rsidP="00991ACC">
      <w:pPr>
        <w:pStyle w:val="Heading1"/>
      </w:pPr>
      <w:bookmarkStart w:id="9" w:name="O_622077"/>
      <w:bookmarkEnd w:id="9"/>
      <w:r w:rsidRPr="00991ACC">
        <w:t>Unit Mapping Information</w:t>
      </w:r>
    </w:p>
    <w:p w:rsidR="00000000" w:rsidRPr="00991ACC" w:rsidP="00425AD5">
      <w:pPr>
        <w:pStyle w:val="BodyText"/>
      </w:pPr>
      <w:r w:rsidRPr="00991ACC">
        <w:t>Supersedes and is equivalent to LMFS</w:t>
      </w:r>
      <w:r w:rsidRPr="00991ACC">
        <w:t>F2014B Use soft furnishing sector hand and power tools.</w:t>
      </w:r>
    </w:p>
    <w:p w:rsidR="00000000" w:rsidRPr="00991ACC" w:rsidP="00991ACC">
      <w:pPr>
        <w:pStyle w:val="Heading1"/>
      </w:pPr>
      <w:bookmarkStart w:id="10" w:name="O_622070"/>
      <w:bookmarkEnd w:id="10"/>
      <w:r w:rsidRPr="00991ACC">
        <w:t>Links</w:t>
      </w:r>
    </w:p>
    <w:p w:rsidR="00000000" w:rsidRPr="00991ACC" w:rsidP="00425AD5">
      <w:pPr>
        <w:pStyle w:val="BodyText"/>
      </w:pPr>
      <w:r w:rsidRPr="00991AC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959CF">
        <w:rPr>
          <w:rStyle w:val="Hyperlink"/>
        </w:rPr>
        <w:t>https://vetnet.gov.au/Pages/TrainingDocs.aspx?q=0601ab95-583a-4e93-b2d4-cfb27b03ed73</w:t>
      </w:r>
      <w:r>
        <w:fldChar w:fldCharType="end"/>
      </w:r>
    </w:p>
    <w:p w:rsidR="00000000" w:rsidRPr="00991ACC" w:rsidP="00991ACC"/>
    <w:sectPr w:rsidSect="00991A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A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ACC" w:rsidRPr="00425AD5" w:rsidP="00425A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A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AD5" w:rsidP="00991A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5AD5" w:rsidP="00991AC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25AD5" w:rsidP="00991A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A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A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1ACC" w:rsidRPr="00425AD5" w:rsidP="00425A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A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AD5" w:rsidRPr="002D2AF8" w:rsidP="00991ACC">
    <w:pPr>
      <w:pStyle w:val="Header"/>
      <w:framePr w:wrap="around"/>
    </w:pPr>
    <w:r>
      <w:fldChar w:fldCharType="begin"/>
    </w:r>
    <w:r>
      <w:instrText xml:space="preserve"> TITLE   \* MERGEFORMAT </w:instrText>
    </w:r>
    <w:r>
      <w:fldChar w:fldCharType="separate"/>
    </w:r>
    <w:r>
      <w:t>MSFSF2014 Use soft furnishing sector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425AD5" w:rsidP="00991A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6875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5079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1A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1ACC"/>
    <w:pPr>
      <w:spacing w:before="360" w:after="60"/>
      <w:outlineLvl w:val="0"/>
    </w:pPr>
    <w:rPr>
      <w:sz w:val="32"/>
    </w:rPr>
  </w:style>
  <w:style w:type="paragraph" w:styleId="Heading2">
    <w:name w:val="heading 2"/>
    <w:basedOn w:val="HeadingBase"/>
    <w:next w:val="BodyText"/>
    <w:link w:val="Heading2Char"/>
    <w:qFormat/>
    <w:rsid w:val="00991ACC"/>
    <w:pPr>
      <w:keepLines/>
      <w:spacing w:before="240" w:after="120"/>
      <w:outlineLvl w:val="1"/>
    </w:pPr>
    <w:rPr>
      <w:sz w:val="28"/>
      <w:szCs w:val="40"/>
    </w:rPr>
  </w:style>
  <w:style w:type="paragraph" w:styleId="Heading3">
    <w:name w:val="heading 3"/>
    <w:basedOn w:val="HeadingBase"/>
    <w:next w:val="BodyText"/>
    <w:link w:val="Heading3Char"/>
    <w:qFormat/>
    <w:rsid w:val="00991ACC"/>
    <w:pPr>
      <w:spacing w:before="180" w:after="120"/>
      <w:outlineLvl w:val="2"/>
    </w:pPr>
    <w:rPr>
      <w:spacing w:val="-10"/>
      <w:kern w:val="32"/>
    </w:rPr>
  </w:style>
  <w:style w:type="paragraph" w:styleId="Heading4">
    <w:name w:val="heading 4"/>
    <w:basedOn w:val="HeadingBase"/>
    <w:next w:val="BodyText"/>
    <w:link w:val="Heading4Char"/>
    <w:qFormat/>
    <w:rsid w:val="00991ACC"/>
    <w:pPr>
      <w:spacing w:before="160" w:after="120"/>
      <w:outlineLvl w:val="3"/>
    </w:pPr>
    <w:rPr>
      <w:sz w:val="22"/>
    </w:rPr>
  </w:style>
  <w:style w:type="paragraph" w:styleId="Heading5">
    <w:name w:val="heading 5"/>
    <w:basedOn w:val="HeadingBase"/>
    <w:next w:val="Normal"/>
    <w:link w:val="Heading5Char"/>
    <w:qFormat/>
    <w:rsid w:val="00991ACC"/>
    <w:pPr>
      <w:spacing w:before="80"/>
      <w:outlineLvl w:val="4"/>
    </w:pPr>
    <w:rPr>
      <w:color w:val="918585"/>
      <w:sz w:val="20"/>
    </w:rPr>
  </w:style>
  <w:style w:type="paragraph" w:styleId="Heading6">
    <w:name w:val="heading 6"/>
    <w:basedOn w:val="HeadingBase"/>
    <w:next w:val="Normal"/>
    <w:link w:val="Heading6Char"/>
    <w:qFormat/>
    <w:rsid w:val="00991ACC"/>
    <w:pPr>
      <w:spacing w:before="60"/>
      <w:outlineLvl w:val="5"/>
    </w:pPr>
    <w:rPr>
      <w:color w:val="918585"/>
      <w:sz w:val="20"/>
    </w:rPr>
  </w:style>
  <w:style w:type="paragraph" w:styleId="Heading7">
    <w:name w:val="heading 7"/>
    <w:basedOn w:val="Normal"/>
    <w:next w:val="Normal"/>
    <w:link w:val="Heading7Char"/>
    <w:qFormat/>
    <w:rsid w:val="00991ACC"/>
    <w:pPr>
      <w:ind w:left="720"/>
      <w:outlineLvl w:val="6"/>
    </w:pPr>
    <w:rPr>
      <w:i/>
    </w:rPr>
  </w:style>
  <w:style w:type="paragraph" w:styleId="Heading8">
    <w:name w:val="heading 8"/>
    <w:basedOn w:val="Normal"/>
    <w:next w:val="Normal"/>
    <w:link w:val="Heading8Char"/>
    <w:qFormat/>
    <w:rsid w:val="00991ACC"/>
    <w:pPr>
      <w:ind w:left="720"/>
      <w:outlineLvl w:val="7"/>
    </w:pPr>
    <w:rPr>
      <w:i/>
    </w:rPr>
  </w:style>
  <w:style w:type="paragraph" w:styleId="Heading9">
    <w:name w:val="heading 9"/>
    <w:basedOn w:val="Normal"/>
    <w:next w:val="Normal"/>
    <w:link w:val="Heading9Char"/>
    <w:qFormat/>
    <w:rsid w:val="00991ACC"/>
    <w:pPr>
      <w:ind w:left="720"/>
      <w:outlineLvl w:val="8"/>
    </w:pPr>
    <w:rPr>
      <w:i/>
    </w:rPr>
  </w:style>
  <w:style w:type="character" w:default="1" w:styleId="DefaultParagraphFont">
    <w:name w:val="Default Paragraph Font"/>
    <w:uiPriority w:val="1"/>
    <w:unhideWhenUsed/>
    <w:rsid w:val="00991A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1ACC"/>
  </w:style>
  <w:style w:type="character" w:customStyle="1" w:styleId="Heading1Char">
    <w:name w:val="Heading 1 Char"/>
    <w:basedOn w:val="DefaultParagraphFont"/>
    <w:link w:val="Heading1"/>
    <w:rsid w:val="00991ACC"/>
    <w:rPr>
      <w:rFonts w:ascii="Times New Roman" w:eastAsia="Times New Roman" w:hAnsi="Times New Roman" w:cs="Times New Roman"/>
      <w:b/>
      <w:sz w:val="32"/>
      <w:szCs w:val="20"/>
      <w:lang w:eastAsia="en-US"/>
    </w:rPr>
  </w:style>
  <w:style w:type="paragraph" w:styleId="BodyText">
    <w:name w:val="Body Text"/>
    <w:basedOn w:val="Normal"/>
    <w:link w:val="BodyTextChar"/>
    <w:rsid w:val="00991A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1ACC"/>
    <w:rPr>
      <w:rFonts w:ascii="Times New Roman" w:eastAsia="Times New Roman" w:hAnsi="Times New Roman" w:cs="Times New Roman"/>
      <w:sz w:val="24"/>
      <w:lang w:eastAsia="en-US"/>
    </w:rPr>
  </w:style>
  <w:style w:type="paragraph" w:styleId="ListBullet">
    <w:name w:val="List Bullet"/>
    <w:basedOn w:val="List"/>
    <w:rsid w:val="00991ACC"/>
    <w:pPr>
      <w:numPr>
        <w:numId w:val="11"/>
      </w:numPr>
      <w:tabs>
        <w:tab w:val="clear" w:pos="340"/>
      </w:tabs>
      <w:spacing w:before="40" w:after="40"/>
    </w:pPr>
  </w:style>
  <w:style w:type="character" w:customStyle="1" w:styleId="SpecialBold">
    <w:name w:val="Special Bold"/>
    <w:basedOn w:val="DefaultParagraphFont"/>
    <w:rsid w:val="00991ACC"/>
    <w:rPr>
      <w:b/>
      <w:spacing w:val="0"/>
    </w:rPr>
  </w:style>
  <w:style w:type="paragraph" w:customStyle="1" w:styleId="SuperHeading">
    <w:name w:val="SuperHeading"/>
    <w:basedOn w:val="Normal"/>
    <w:rsid w:val="00991ACC"/>
    <w:pPr>
      <w:spacing w:before="240" w:after="120"/>
      <w:outlineLvl w:val="0"/>
    </w:pPr>
    <w:rPr>
      <w:rFonts w:ascii="Times New Roman" w:hAnsi="Times New Roman"/>
      <w:b/>
      <w:sz w:val="32"/>
    </w:rPr>
  </w:style>
  <w:style w:type="paragraph" w:customStyle="1" w:styleId="AllowPageBreak">
    <w:name w:val="AllowPageBreak"/>
    <w:rsid w:val="00991A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1A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1A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1A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1A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1A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1A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1A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1ACC"/>
    <w:rPr>
      <w:rFonts w:ascii="Courier New" w:eastAsia="Times New Roman" w:hAnsi="Courier New" w:cs="Times New Roman"/>
      <w:i/>
      <w:szCs w:val="20"/>
      <w:lang w:eastAsia="en-US"/>
    </w:rPr>
  </w:style>
  <w:style w:type="paragraph" w:customStyle="1" w:styleId="HeadingBase">
    <w:name w:val="Heading Base"/>
    <w:rsid w:val="00991A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1ACC"/>
    <w:pPr>
      <w:tabs>
        <w:tab w:val="right" w:leader="dot" w:pos="9072"/>
      </w:tabs>
      <w:ind w:left="567"/>
    </w:pPr>
    <w:rPr>
      <w:szCs w:val="22"/>
    </w:rPr>
  </w:style>
  <w:style w:type="paragraph" w:customStyle="1" w:styleId="TOCBase">
    <w:name w:val="TOC Base"/>
    <w:rsid w:val="00991A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1ACC"/>
    <w:pPr>
      <w:tabs>
        <w:tab w:val="right" w:leader="dot" w:pos="9072"/>
      </w:tabs>
      <w:spacing w:before="40" w:after="40"/>
      <w:ind w:left="284"/>
    </w:pPr>
    <w:rPr>
      <w:rFonts w:ascii="Times New Roman" w:hAnsi="Times New Roman"/>
    </w:rPr>
  </w:style>
  <w:style w:type="paragraph" w:styleId="TOC1">
    <w:name w:val="toc 1"/>
    <w:basedOn w:val="TOCBase"/>
    <w:next w:val="Normal"/>
    <w:rsid w:val="00991A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1A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1ACC"/>
    <w:rPr>
      <w:rFonts w:ascii="Times New Roman" w:eastAsia="Times New Roman" w:hAnsi="Times New Roman" w:cs="Times New Roman"/>
      <w:sz w:val="16"/>
      <w:lang w:eastAsia="en-US"/>
    </w:rPr>
  </w:style>
  <w:style w:type="paragraph" w:styleId="Title">
    <w:name w:val="Title"/>
    <w:basedOn w:val="HeadingBase"/>
    <w:link w:val="TitleChar"/>
    <w:qFormat/>
    <w:rsid w:val="00991ACC"/>
    <w:pPr>
      <w:spacing w:before="5040"/>
      <w:jc w:val="center"/>
    </w:pPr>
    <w:rPr>
      <w:sz w:val="48"/>
      <w:szCs w:val="72"/>
      <w:lang w:val="en-US"/>
    </w:rPr>
  </w:style>
  <w:style w:type="character" w:customStyle="1" w:styleId="TitleChar">
    <w:name w:val="Title Char"/>
    <w:basedOn w:val="DefaultParagraphFont"/>
    <w:link w:val="Title"/>
    <w:rsid w:val="00991A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1ACC"/>
    <w:pPr>
      <w:tabs>
        <w:tab w:val="left" w:pos="3600"/>
        <w:tab w:val="left" w:pos="3958"/>
      </w:tabs>
    </w:pPr>
  </w:style>
  <w:style w:type="paragraph" w:styleId="List">
    <w:name w:val="List"/>
    <w:basedOn w:val="BodyText"/>
    <w:next w:val="BodyText"/>
    <w:rsid w:val="00991ACC"/>
    <w:pPr>
      <w:tabs>
        <w:tab w:val="left" w:pos="340"/>
      </w:tabs>
      <w:spacing w:before="60" w:after="60"/>
      <w:ind w:left="340" w:hanging="340"/>
    </w:pPr>
  </w:style>
  <w:style w:type="paragraph" w:customStyle="1" w:styleId="Note">
    <w:name w:val="Note"/>
    <w:basedOn w:val="BodyText"/>
    <w:rsid w:val="00991A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1ACC"/>
    <w:pPr>
      <w:framePr w:wrap="auto" w:hAnchor="text" w:y="6049"/>
    </w:pPr>
    <w:rPr>
      <w:color w:val="000000"/>
      <w:sz w:val="40"/>
    </w:rPr>
  </w:style>
  <w:style w:type="paragraph" w:customStyle="1" w:styleId="TOCTitle">
    <w:name w:val="TOCTitle"/>
    <w:basedOn w:val="Heading1"/>
    <w:rsid w:val="00991ACC"/>
    <w:pPr>
      <w:spacing w:after="240"/>
      <w:jc w:val="center"/>
      <w:outlineLvl w:val="9"/>
    </w:pPr>
    <w:rPr>
      <w:caps/>
    </w:rPr>
  </w:style>
  <w:style w:type="paragraph" w:customStyle="1" w:styleId="Version">
    <w:name w:val="Version"/>
    <w:rsid w:val="00991A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1ACC"/>
    <w:pPr>
      <w:numPr>
        <w:numId w:val="12"/>
      </w:numPr>
      <w:tabs>
        <w:tab w:val="clear" w:pos="680"/>
      </w:tabs>
    </w:pPr>
  </w:style>
  <w:style w:type="paragraph" w:styleId="Index1">
    <w:name w:val="index 1"/>
    <w:basedOn w:val="Normal"/>
    <w:next w:val="Normal"/>
    <w:semiHidden/>
    <w:rsid w:val="00991ACC"/>
    <w:pPr>
      <w:keepNext w:val="0"/>
      <w:tabs>
        <w:tab w:val="right" w:pos="4176"/>
      </w:tabs>
      <w:ind w:left="198" w:hanging="198"/>
    </w:pPr>
    <w:rPr>
      <w:rFonts w:ascii="Garamond" w:hAnsi="Garamond"/>
    </w:rPr>
  </w:style>
  <w:style w:type="paragraph" w:styleId="IndexHeading">
    <w:name w:val="index heading"/>
    <w:basedOn w:val="Normal"/>
    <w:next w:val="Index1"/>
    <w:semiHidden/>
    <w:rsid w:val="00991ACC"/>
    <w:pPr>
      <w:spacing w:before="120" w:after="120"/>
    </w:pPr>
    <w:rPr>
      <w:rFonts w:ascii="Arial" w:hAnsi="Arial"/>
      <w:b/>
      <w:color w:val="918585"/>
      <w:sz w:val="24"/>
    </w:rPr>
  </w:style>
  <w:style w:type="paragraph" w:styleId="Header">
    <w:name w:val="header"/>
    <w:basedOn w:val="Normal"/>
    <w:link w:val="HeaderChar"/>
    <w:rsid w:val="00991A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1ACC"/>
    <w:rPr>
      <w:rFonts w:ascii="Times New Roman" w:eastAsia="Times New Roman" w:hAnsi="Times New Roman" w:cs="Times New Roman"/>
      <w:sz w:val="16"/>
      <w:szCs w:val="20"/>
      <w:lang w:val="en-GB" w:eastAsia="en-US"/>
    </w:rPr>
  </w:style>
  <w:style w:type="paragraph" w:customStyle="1" w:styleId="Chapter">
    <w:name w:val="Chapter"/>
    <w:basedOn w:val="Normal"/>
    <w:rsid w:val="00991ACC"/>
    <w:pPr>
      <w:spacing w:before="240"/>
    </w:pPr>
    <w:rPr>
      <w:rFonts w:ascii="Times New Roman" w:hAnsi="Times New Roman"/>
      <w:smallCaps/>
      <w:spacing w:val="80"/>
      <w:sz w:val="28"/>
    </w:rPr>
  </w:style>
  <w:style w:type="paragraph" w:customStyle="1" w:styleId="InChapter">
    <w:name w:val="InChapter"/>
    <w:basedOn w:val="Heading3"/>
    <w:rsid w:val="00991ACC"/>
    <w:pPr>
      <w:spacing w:after="240"/>
      <w:outlineLvl w:val="9"/>
    </w:pPr>
    <w:rPr>
      <w:noProof/>
    </w:rPr>
  </w:style>
  <w:style w:type="paragraph" w:styleId="Index2">
    <w:name w:val="index 2"/>
    <w:basedOn w:val="Normal"/>
    <w:next w:val="Normal"/>
    <w:semiHidden/>
    <w:rsid w:val="00991ACC"/>
    <w:pPr>
      <w:tabs>
        <w:tab w:val="right" w:pos="4176"/>
      </w:tabs>
      <w:ind w:left="568" w:hanging="284"/>
    </w:pPr>
    <w:rPr>
      <w:rFonts w:ascii="Garamond" w:hAnsi="Garamond"/>
    </w:rPr>
  </w:style>
  <w:style w:type="paragraph" w:customStyle="1" w:styleId="Byline">
    <w:name w:val="Byline"/>
    <w:rsid w:val="00991A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1ACC"/>
    <w:pPr>
      <w:tabs>
        <w:tab w:val="clear" w:pos="3600"/>
        <w:tab w:val="clear" w:pos="3958"/>
      </w:tabs>
      <w:jc w:val="right"/>
    </w:pPr>
  </w:style>
  <w:style w:type="character" w:styleId="Emphasis">
    <w:name w:val="Emphasis"/>
    <w:basedOn w:val="DefaultParagraphFont"/>
    <w:qFormat/>
    <w:rsid w:val="00991ACC"/>
    <w:rPr>
      <w:i/>
    </w:rPr>
  </w:style>
  <w:style w:type="paragraph" w:styleId="Caption">
    <w:name w:val="caption"/>
    <w:basedOn w:val="BodyText"/>
    <w:next w:val="Normal"/>
    <w:qFormat/>
    <w:rsid w:val="00991ACC"/>
    <w:pPr>
      <w:framePr w:w="2268" w:hSpace="181" w:vSpace="181" w:wrap="around" w:vAnchor="text" w:hAnchor="page" w:x="1135" w:y="285" w:anchorLock="1"/>
    </w:pPr>
    <w:rPr>
      <w:i/>
    </w:rPr>
  </w:style>
  <w:style w:type="paragraph" w:customStyle="1" w:styleId="MiniTOCTitle">
    <w:name w:val="MiniTOCTitle"/>
    <w:basedOn w:val="Heading4"/>
    <w:rsid w:val="00991ACC"/>
    <w:pPr>
      <w:spacing w:before="240"/>
      <w:outlineLvl w:val="9"/>
    </w:pPr>
    <w:rPr>
      <w:noProof/>
      <w:sz w:val="24"/>
    </w:rPr>
  </w:style>
  <w:style w:type="paragraph" w:customStyle="1" w:styleId="MiniTOCItem">
    <w:name w:val="MiniTOCItem"/>
    <w:basedOn w:val="ListBullet"/>
    <w:rsid w:val="00991ACC"/>
    <w:pPr>
      <w:numPr>
        <w:numId w:val="0"/>
      </w:numPr>
      <w:tabs>
        <w:tab w:val="right" w:leader="dot" w:pos="6521"/>
      </w:tabs>
      <w:spacing w:before="0" w:after="0"/>
    </w:pPr>
  </w:style>
  <w:style w:type="paragraph" w:customStyle="1" w:styleId="TOFTitle">
    <w:name w:val="TOFTitle"/>
    <w:basedOn w:val="TOCTitle"/>
    <w:rsid w:val="00991ACC"/>
  </w:style>
  <w:style w:type="paragraph" w:styleId="TableofFigures">
    <w:name w:val="table of figures"/>
    <w:basedOn w:val="Normal"/>
    <w:next w:val="Normal"/>
    <w:semiHidden/>
    <w:rsid w:val="00991ACC"/>
    <w:pPr>
      <w:tabs>
        <w:tab w:val="right" w:leader="dot" w:pos="9072"/>
      </w:tabs>
      <w:ind w:left="970" w:hanging="403"/>
    </w:pPr>
    <w:rPr>
      <w:rFonts w:ascii="Times New Roman" w:hAnsi="Times New Roman"/>
      <w:b/>
    </w:rPr>
  </w:style>
  <w:style w:type="paragraph" w:styleId="ListNumber">
    <w:name w:val="List Number"/>
    <w:basedOn w:val="List"/>
    <w:rsid w:val="00991ACC"/>
    <w:pPr>
      <w:numPr>
        <w:numId w:val="14"/>
      </w:numPr>
      <w:tabs>
        <w:tab w:val="clear" w:pos="340"/>
      </w:tabs>
    </w:pPr>
  </w:style>
  <w:style w:type="character" w:customStyle="1" w:styleId="WingdingSymbols">
    <w:name w:val="Wingding Symbols"/>
    <w:rsid w:val="00991ACC"/>
    <w:rPr>
      <w:rFonts w:ascii="Wingdings" w:hAnsi="Wingdings"/>
    </w:rPr>
  </w:style>
  <w:style w:type="paragraph" w:customStyle="1" w:styleId="TableHeading">
    <w:name w:val="Table Heading"/>
    <w:basedOn w:val="HeadingBase"/>
    <w:rsid w:val="00991ACC"/>
    <w:pPr>
      <w:keepLines/>
      <w:pBdr>
        <w:bottom w:val="single" w:sz="6" w:space="1" w:color="918585"/>
      </w:pBdr>
      <w:spacing w:before="240"/>
    </w:pPr>
  </w:style>
  <w:style w:type="character" w:customStyle="1" w:styleId="HotSpot">
    <w:name w:val="HotSpot"/>
    <w:rsid w:val="00991ACC"/>
    <w:rPr>
      <w:color w:val="0033CC"/>
      <w:u w:val="none"/>
    </w:rPr>
  </w:style>
  <w:style w:type="paragraph" w:customStyle="1" w:styleId="BodyTextRight">
    <w:name w:val="Body Text Right"/>
    <w:basedOn w:val="BodyText"/>
    <w:rsid w:val="00991ACC"/>
    <w:pPr>
      <w:spacing w:before="0" w:after="0"/>
      <w:jc w:val="right"/>
    </w:pPr>
  </w:style>
  <w:style w:type="paragraph" w:styleId="Index3">
    <w:name w:val="index 3"/>
    <w:basedOn w:val="ListNumber2"/>
    <w:next w:val="Normal"/>
    <w:semiHidden/>
    <w:rsid w:val="00991ACC"/>
    <w:pPr>
      <w:numPr>
        <w:numId w:val="0"/>
      </w:numPr>
      <w:tabs>
        <w:tab w:val="right" w:leader="dot" w:pos="4176"/>
      </w:tabs>
    </w:pPr>
  </w:style>
  <w:style w:type="paragraph" w:styleId="ListNumber2">
    <w:name w:val="List Number 2"/>
    <w:basedOn w:val="List2"/>
    <w:rsid w:val="00991ACC"/>
    <w:pPr>
      <w:numPr>
        <w:numId w:val="9"/>
      </w:numPr>
      <w:tabs>
        <w:tab w:val="clear" w:pos="1060"/>
      </w:tabs>
    </w:pPr>
  </w:style>
  <w:style w:type="paragraph" w:customStyle="1" w:styleId="MarginNote">
    <w:name w:val="Margin Note"/>
    <w:basedOn w:val="BodyText"/>
    <w:rsid w:val="00991A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1A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1A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1ACC"/>
    <w:rPr>
      <w:sz w:val="32"/>
    </w:rPr>
  </w:style>
  <w:style w:type="paragraph" w:customStyle="1" w:styleId="HeadingProcedure">
    <w:name w:val="Heading Procedure"/>
    <w:basedOn w:val="HeadingBase"/>
    <w:next w:val="Normal"/>
    <w:rsid w:val="00991ACC"/>
    <w:pPr>
      <w:tabs>
        <w:tab w:val="left" w:pos="0"/>
      </w:tabs>
      <w:spacing w:before="120" w:after="60"/>
    </w:pPr>
    <w:rPr>
      <w:i/>
      <w:color w:val="918585"/>
      <w:sz w:val="22"/>
    </w:rPr>
  </w:style>
  <w:style w:type="paragraph" w:customStyle="1" w:styleId="TableBodyText">
    <w:name w:val="Table Body Text"/>
    <w:basedOn w:val="BodyText"/>
    <w:rsid w:val="00991ACC"/>
    <w:pPr>
      <w:spacing w:before="60" w:after="60"/>
    </w:pPr>
  </w:style>
  <w:style w:type="paragraph" w:styleId="ListContinue">
    <w:name w:val="List Continue"/>
    <w:basedOn w:val="List"/>
    <w:rsid w:val="00991ACC"/>
    <w:pPr>
      <w:ind w:firstLine="0"/>
    </w:pPr>
  </w:style>
  <w:style w:type="paragraph" w:customStyle="1" w:styleId="ListNote">
    <w:name w:val="List Note"/>
    <w:basedOn w:val="List"/>
    <w:rsid w:val="00991ACC"/>
    <w:pPr>
      <w:pBdr>
        <w:top w:val="single" w:sz="6" w:space="2" w:color="918585"/>
        <w:bottom w:val="single" w:sz="6" w:space="2" w:color="918585"/>
      </w:pBdr>
      <w:tabs>
        <w:tab w:val="left" w:pos="1021"/>
      </w:tabs>
      <w:ind w:firstLine="0"/>
    </w:pPr>
  </w:style>
  <w:style w:type="paragraph" w:customStyle="1" w:styleId="Warning">
    <w:name w:val="Warning"/>
    <w:basedOn w:val="BodyText"/>
    <w:rsid w:val="00991ACC"/>
    <w:pPr>
      <w:shd w:val="clear" w:color="auto" w:fill="D9D9D9"/>
      <w:tabs>
        <w:tab w:val="left" w:pos="992"/>
      </w:tabs>
      <w:ind w:left="119" w:right="119"/>
    </w:pPr>
    <w:rPr>
      <w:sz w:val="20"/>
    </w:rPr>
  </w:style>
  <w:style w:type="paragraph" w:customStyle="1" w:styleId="MarginIcons">
    <w:name w:val="Margin Icons"/>
    <w:basedOn w:val="BodyText"/>
    <w:rsid w:val="00991A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1ACC"/>
    <w:rPr>
      <w:rFonts w:ascii="Courier New" w:hAnsi="Courier New"/>
    </w:rPr>
  </w:style>
  <w:style w:type="paragraph" w:customStyle="1" w:styleId="NoteBullet">
    <w:name w:val="Note Bullet"/>
    <w:basedOn w:val="Note"/>
    <w:rsid w:val="00991ACC"/>
    <w:pPr>
      <w:tabs>
        <w:tab w:val="clear" w:pos="680"/>
      </w:tabs>
      <w:spacing w:before="60" w:after="60"/>
    </w:pPr>
  </w:style>
  <w:style w:type="paragraph" w:customStyle="1" w:styleId="SubHeading2">
    <w:name w:val="SubHeading2"/>
    <w:basedOn w:val="HeadingBase"/>
    <w:rsid w:val="00991ACC"/>
    <w:pPr>
      <w:spacing w:before="240" w:after="60"/>
    </w:pPr>
    <w:rPr>
      <w:sz w:val="20"/>
    </w:rPr>
  </w:style>
  <w:style w:type="paragraph" w:customStyle="1" w:styleId="SubHeading1">
    <w:name w:val="SubHeading1"/>
    <w:basedOn w:val="HeadingBase"/>
    <w:rsid w:val="00991ACC"/>
    <w:pPr>
      <w:spacing w:before="240" w:after="60"/>
    </w:pPr>
    <w:rPr>
      <w:color w:val="918585"/>
      <w:sz w:val="22"/>
    </w:rPr>
  </w:style>
  <w:style w:type="paragraph" w:customStyle="1" w:styleId="SideHeading">
    <w:name w:val="Side Heading"/>
    <w:basedOn w:val="HeadingBase"/>
    <w:rsid w:val="00991A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1ACC"/>
    <w:pPr>
      <w:numPr>
        <w:numId w:val="10"/>
      </w:numPr>
    </w:pPr>
  </w:style>
  <w:style w:type="paragraph" w:styleId="PlainText">
    <w:name w:val="Plain Text"/>
    <w:basedOn w:val="Normal"/>
    <w:link w:val="PlainTextChar"/>
    <w:rsid w:val="00991ACC"/>
    <w:rPr>
      <w:sz w:val="20"/>
    </w:rPr>
  </w:style>
  <w:style w:type="character" w:customStyle="1" w:styleId="PlainTextChar">
    <w:name w:val="Plain Text Char"/>
    <w:basedOn w:val="DefaultParagraphFont"/>
    <w:link w:val="PlainText"/>
    <w:rsid w:val="00991ACC"/>
    <w:rPr>
      <w:rFonts w:ascii="Courier New" w:eastAsia="Times New Roman" w:hAnsi="Courier New" w:cs="Times New Roman"/>
      <w:sz w:val="20"/>
      <w:szCs w:val="20"/>
      <w:lang w:eastAsia="en-US"/>
    </w:rPr>
  </w:style>
  <w:style w:type="character" w:customStyle="1" w:styleId="MenuOption">
    <w:name w:val="Menu Option"/>
    <w:basedOn w:val="DefaultParagraphFont"/>
    <w:rsid w:val="00991ACC"/>
    <w:rPr>
      <w:b/>
      <w:smallCaps/>
    </w:rPr>
  </w:style>
  <w:style w:type="paragraph" w:customStyle="1" w:styleId="TableListNumber">
    <w:name w:val="Table List Number"/>
    <w:basedOn w:val="ListNumber"/>
    <w:rsid w:val="00991ACC"/>
    <w:pPr>
      <w:numPr>
        <w:numId w:val="0"/>
      </w:numPr>
    </w:pPr>
  </w:style>
  <w:style w:type="paragraph" w:styleId="TOC4">
    <w:name w:val="toc 4"/>
    <w:basedOn w:val="TOCBase"/>
    <w:next w:val="Normal"/>
    <w:semiHidden/>
    <w:rsid w:val="00991ACC"/>
    <w:pPr>
      <w:tabs>
        <w:tab w:val="right" w:leader="dot" w:pos="9071"/>
      </w:tabs>
      <w:ind w:left="1701"/>
    </w:pPr>
  </w:style>
  <w:style w:type="paragraph" w:customStyle="1" w:styleId="ListAlpha">
    <w:name w:val="List Alpha"/>
    <w:basedOn w:val="List"/>
    <w:rsid w:val="00991ACC"/>
    <w:pPr>
      <w:numPr>
        <w:numId w:val="8"/>
      </w:numPr>
    </w:pPr>
  </w:style>
  <w:style w:type="paragraph" w:customStyle="1" w:styleId="ListAlpha2">
    <w:name w:val="List Alpha 2"/>
    <w:basedOn w:val="List2"/>
    <w:rsid w:val="00991ACC"/>
    <w:pPr>
      <w:numPr>
        <w:numId w:val="7"/>
      </w:numPr>
    </w:pPr>
  </w:style>
  <w:style w:type="paragraph" w:styleId="List2">
    <w:name w:val="List 2"/>
    <w:basedOn w:val="BodyText"/>
    <w:rsid w:val="00991ACC"/>
    <w:pPr>
      <w:tabs>
        <w:tab w:val="left" w:pos="680"/>
      </w:tabs>
      <w:spacing w:before="60" w:after="60"/>
      <w:ind w:left="680" w:hanging="340"/>
    </w:pPr>
  </w:style>
  <w:style w:type="paragraph" w:styleId="List3">
    <w:name w:val="List 3"/>
    <w:basedOn w:val="BodyText"/>
    <w:rsid w:val="00991ACC"/>
    <w:pPr>
      <w:tabs>
        <w:tab w:val="left" w:pos="1021"/>
      </w:tabs>
      <w:spacing w:before="60" w:after="60"/>
      <w:ind w:left="1020" w:hanging="340"/>
    </w:pPr>
  </w:style>
  <w:style w:type="paragraph" w:styleId="List4">
    <w:name w:val="List 4"/>
    <w:basedOn w:val="BodyText"/>
    <w:rsid w:val="00991ACC"/>
    <w:pPr>
      <w:tabs>
        <w:tab w:val="left" w:pos="1361"/>
      </w:tabs>
      <w:spacing w:before="60" w:after="60"/>
      <w:ind w:left="1361" w:hanging="340"/>
    </w:pPr>
  </w:style>
  <w:style w:type="paragraph" w:styleId="List5">
    <w:name w:val="List 5"/>
    <w:basedOn w:val="BodyText"/>
    <w:rsid w:val="00991ACC"/>
    <w:pPr>
      <w:tabs>
        <w:tab w:val="left" w:pos="1701"/>
      </w:tabs>
      <w:spacing w:before="60" w:after="60"/>
      <w:ind w:left="1701" w:hanging="340"/>
    </w:pPr>
  </w:style>
  <w:style w:type="paragraph" w:styleId="ListBullet3">
    <w:name w:val="List Bullet 3"/>
    <w:basedOn w:val="List3"/>
    <w:rsid w:val="00991ACC"/>
    <w:pPr>
      <w:numPr>
        <w:numId w:val="13"/>
      </w:numPr>
      <w:tabs>
        <w:tab w:val="clear" w:pos="1021"/>
      </w:tabs>
      <w:ind w:left="1037" w:hanging="357"/>
    </w:pPr>
  </w:style>
  <w:style w:type="paragraph" w:styleId="ListBullet4">
    <w:name w:val="List Bullet 4"/>
    <w:basedOn w:val="List4"/>
    <w:rsid w:val="00991ACC"/>
    <w:pPr>
      <w:numPr>
        <w:numId w:val="2"/>
      </w:numPr>
      <w:tabs>
        <w:tab w:val="clear" w:pos="1361"/>
      </w:tabs>
    </w:pPr>
  </w:style>
  <w:style w:type="paragraph" w:styleId="ListBullet5">
    <w:name w:val="List Bullet 5"/>
    <w:basedOn w:val="List5"/>
    <w:rsid w:val="00991ACC"/>
    <w:pPr>
      <w:numPr>
        <w:numId w:val="3"/>
      </w:numPr>
    </w:pPr>
  </w:style>
  <w:style w:type="paragraph" w:styleId="ListContinue2">
    <w:name w:val="List Continue 2"/>
    <w:basedOn w:val="List2"/>
    <w:rsid w:val="00991ACC"/>
    <w:pPr>
      <w:ind w:firstLine="0"/>
    </w:pPr>
  </w:style>
  <w:style w:type="paragraph" w:styleId="ListContinue3">
    <w:name w:val="List Continue 3"/>
    <w:basedOn w:val="List3"/>
    <w:rsid w:val="00991ACC"/>
    <w:pPr>
      <w:ind w:left="1021" w:firstLine="0"/>
    </w:pPr>
  </w:style>
  <w:style w:type="paragraph" w:styleId="ListContinue4">
    <w:name w:val="List Continue 4"/>
    <w:basedOn w:val="List4"/>
    <w:rsid w:val="00991ACC"/>
    <w:pPr>
      <w:ind w:firstLine="0"/>
    </w:pPr>
  </w:style>
  <w:style w:type="paragraph" w:styleId="ListContinue5">
    <w:name w:val="List Continue 5"/>
    <w:basedOn w:val="List5"/>
    <w:rsid w:val="00991ACC"/>
    <w:pPr>
      <w:ind w:firstLine="0"/>
    </w:pPr>
  </w:style>
  <w:style w:type="paragraph" w:styleId="ListNumber3">
    <w:name w:val="List Number 3"/>
    <w:basedOn w:val="List3"/>
    <w:rsid w:val="00991ACC"/>
    <w:pPr>
      <w:numPr>
        <w:numId w:val="4"/>
      </w:numPr>
    </w:pPr>
  </w:style>
  <w:style w:type="paragraph" w:styleId="ListNumber4">
    <w:name w:val="List Number 4"/>
    <w:basedOn w:val="List4"/>
    <w:rsid w:val="00991ACC"/>
    <w:pPr>
      <w:numPr>
        <w:numId w:val="5"/>
      </w:numPr>
    </w:pPr>
  </w:style>
  <w:style w:type="paragraph" w:styleId="ListNumber5">
    <w:name w:val="List Number 5"/>
    <w:basedOn w:val="List5"/>
    <w:rsid w:val="00991ACC"/>
    <w:pPr>
      <w:numPr>
        <w:numId w:val="6"/>
      </w:numPr>
    </w:pPr>
  </w:style>
  <w:style w:type="paragraph" w:styleId="BlockText">
    <w:name w:val="Block Text"/>
    <w:basedOn w:val="Normal"/>
    <w:rsid w:val="00991ACC"/>
    <w:pPr>
      <w:spacing w:after="120"/>
      <w:ind w:left="1440" w:right="1440"/>
    </w:pPr>
  </w:style>
  <w:style w:type="character" w:customStyle="1" w:styleId="Subscript">
    <w:name w:val="Subscript"/>
    <w:basedOn w:val="DefaultParagraphFont"/>
    <w:rsid w:val="00991ACC"/>
    <w:rPr>
      <w:sz w:val="16"/>
      <w:vertAlign w:val="subscript"/>
    </w:rPr>
  </w:style>
  <w:style w:type="character" w:customStyle="1" w:styleId="Superscript">
    <w:name w:val="Superscript"/>
    <w:basedOn w:val="DefaultParagraphFont"/>
    <w:rsid w:val="00991ACC"/>
    <w:rPr>
      <w:sz w:val="16"/>
      <w:vertAlign w:val="superscript"/>
    </w:rPr>
  </w:style>
  <w:style w:type="character" w:customStyle="1" w:styleId="Symbols">
    <w:name w:val="Symbols"/>
    <w:basedOn w:val="DefaultParagraphFont"/>
    <w:rsid w:val="00991ACC"/>
    <w:rPr>
      <w:rFonts w:ascii="Symbol" w:hAnsi="Symbol"/>
    </w:rPr>
  </w:style>
  <w:style w:type="character" w:customStyle="1" w:styleId="MenuOptions">
    <w:name w:val="Menu Options"/>
    <w:basedOn w:val="DefaultParagraphFont"/>
    <w:rsid w:val="00991ACC"/>
    <w:rPr>
      <w:rFonts w:ascii="Arial Narrow" w:hAnsi="Arial Narrow"/>
      <w:smallCaps/>
    </w:rPr>
  </w:style>
  <w:style w:type="character" w:customStyle="1" w:styleId="Buttons">
    <w:name w:val="Buttons"/>
    <w:basedOn w:val="DefaultParagraphFont"/>
    <w:rsid w:val="00991ACC"/>
    <w:rPr>
      <w:b/>
    </w:rPr>
  </w:style>
  <w:style w:type="character" w:customStyle="1" w:styleId="Underlined">
    <w:name w:val="Underlined"/>
    <w:basedOn w:val="DefaultParagraphFont"/>
    <w:rsid w:val="00991ACC"/>
    <w:rPr>
      <w:u w:val="single"/>
    </w:rPr>
  </w:style>
  <w:style w:type="paragraph" w:customStyle="1" w:styleId="TableBodyTextRight">
    <w:name w:val="Table Body Text Right"/>
    <w:basedOn w:val="TableBodyText"/>
    <w:rsid w:val="00991ACC"/>
    <w:pPr>
      <w:widowControl w:val="0"/>
      <w:autoSpaceDE w:val="0"/>
      <w:autoSpaceDN w:val="0"/>
      <w:adjustRightInd w:val="0"/>
      <w:jc w:val="right"/>
    </w:pPr>
    <w:rPr>
      <w:rFonts w:cs="Arial"/>
      <w:szCs w:val="18"/>
    </w:rPr>
  </w:style>
  <w:style w:type="paragraph" w:customStyle="1" w:styleId="CopyrightText">
    <w:name w:val="Copyright Text"/>
    <w:basedOn w:val="BodyText"/>
    <w:rsid w:val="00991ACC"/>
    <w:rPr>
      <w:sz w:val="18"/>
    </w:rPr>
  </w:style>
  <w:style w:type="paragraph" w:customStyle="1" w:styleId="BodySmallRight">
    <w:name w:val="Body Small Right"/>
    <w:basedOn w:val="BodyTextRight"/>
    <w:rsid w:val="00991ACC"/>
    <w:rPr>
      <w:sz w:val="18"/>
      <w:szCs w:val="18"/>
    </w:rPr>
  </w:style>
  <w:style w:type="paragraph" w:customStyle="1" w:styleId="MarginEdition">
    <w:name w:val="Margin Edition"/>
    <w:basedOn w:val="MarginNote"/>
    <w:rsid w:val="00991ACC"/>
    <w:pPr>
      <w:spacing w:before="0" w:after="0"/>
    </w:pPr>
    <w:rPr>
      <w:rFonts w:ascii="Times New Roman" w:hAnsi="Times New Roman"/>
      <w:color w:val="999999"/>
    </w:rPr>
  </w:style>
  <w:style w:type="paragraph" w:customStyle="1" w:styleId="Spacer">
    <w:name w:val="Spacer"/>
    <w:basedOn w:val="Normal"/>
    <w:rsid w:val="00991ACC"/>
    <w:rPr>
      <w:sz w:val="2"/>
      <w:szCs w:val="2"/>
    </w:rPr>
  </w:style>
  <w:style w:type="character" w:customStyle="1" w:styleId="Small">
    <w:name w:val="Small"/>
    <w:basedOn w:val="DefaultParagraphFont"/>
    <w:rsid w:val="00991ACC"/>
    <w:rPr>
      <w:sz w:val="16"/>
    </w:rPr>
  </w:style>
  <w:style w:type="paragraph" w:customStyle="1" w:styleId="WideTable">
    <w:name w:val="Wide Table"/>
    <w:basedOn w:val="Normal"/>
    <w:rsid w:val="00991ACC"/>
    <w:pPr>
      <w:ind w:left="-1418"/>
    </w:pPr>
    <w:rPr>
      <w:sz w:val="2"/>
      <w:szCs w:val="2"/>
    </w:rPr>
  </w:style>
  <w:style w:type="character" w:styleId="PageNumber">
    <w:name w:val="page number"/>
    <w:basedOn w:val="DefaultParagraphFont"/>
    <w:rsid w:val="00991ACC"/>
  </w:style>
  <w:style w:type="paragraph" w:styleId="Quote">
    <w:name w:val="Quote"/>
    <w:basedOn w:val="Heading1"/>
    <w:link w:val="QuoteChar"/>
    <w:qFormat/>
    <w:rsid w:val="00991ACC"/>
    <w:rPr>
      <w:b w:val="0"/>
      <w:sz w:val="72"/>
      <w:szCs w:val="72"/>
      <w:lang w:val="en-NZ"/>
    </w:rPr>
  </w:style>
  <w:style w:type="character" w:customStyle="1" w:styleId="QuoteChar">
    <w:name w:val="Quote Char"/>
    <w:basedOn w:val="DefaultParagraphFont"/>
    <w:link w:val="Quote"/>
    <w:rsid w:val="00991A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1ACC"/>
    <w:pPr>
      <w:pageBreakBefore/>
    </w:pPr>
  </w:style>
  <w:style w:type="paragraph" w:customStyle="1" w:styleId="Border">
    <w:name w:val="Border"/>
    <w:basedOn w:val="Normal"/>
    <w:qFormat/>
    <w:rsid w:val="00991A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1ACC"/>
    <w:rPr>
      <w:b/>
      <w:bCs/>
      <w:i/>
      <w:iCs/>
      <w:color w:val="auto"/>
    </w:rPr>
  </w:style>
  <w:style w:type="paragraph" w:styleId="IntenseQuote">
    <w:name w:val="Intense Quote"/>
    <w:basedOn w:val="Normal"/>
    <w:next w:val="Normal"/>
    <w:link w:val="IntenseQuoteChar"/>
    <w:uiPriority w:val="30"/>
    <w:qFormat/>
    <w:rsid w:val="00991A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1A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1ACC"/>
    <w:rPr>
      <w:smallCaps/>
      <w:color w:val="auto"/>
      <w:u w:val="single"/>
    </w:rPr>
  </w:style>
  <w:style w:type="character" w:styleId="IntenseReference">
    <w:name w:val="Intense Reference"/>
    <w:basedOn w:val="DefaultParagraphFont"/>
    <w:uiPriority w:val="32"/>
    <w:qFormat/>
    <w:rsid w:val="00991ACC"/>
    <w:rPr>
      <w:b/>
      <w:bCs/>
      <w:smallCaps/>
      <w:color w:val="auto"/>
      <w:spacing w:val="5"/>
      <w:u w:val="single"/>
    </w:rPr>
  </w:style>
  <w:style w:type="paragraph" w:customStyle="1" w:styleId="2ColumnHeading">
    <w:name w:val="2Column Heading"/>
    <w:basedOn w:val="BodyText"/>
    <w:qFormat/>
    <w:rsid w:val="00991ACC"/>
    <w:pPr>
      <w:spacing w:after="60"/>
      <w:ind w:left="-2268"/>
    </w:pPr>
    <w:rPr>
      <w:b/>
    </w:rPr>
  </w:style>
  <w:style w:type="paragraph" w:customStyle="1" w:styleId="Heading1TOC">
    <w:name w:val="Heading1 TOC"/>
    <w:basedOn w:val="Normal"/>
    <w:qFormat/>
    <w:rsid w:val="00991ACC"/>
    <w:pPr>
      <w:spacing w:before="240" w:after="120"/>
    </w:pPr>
    <w:rPr>
      <w:rFonts w:ascii="Times New Roman" w:hAnsi="Times New Roman"/>
      <w:b/>
      <w:sz w:val="32"/>
    </w:rPr>
  </w:style>
  <w:style w:type="paragraph" w:customStyle="1" w:styleId="Heading2TOC">
    <w:name w:val="Heading2 TOC"/>
    <w:basedOn w:val="Normal"/>
    <w:qFormat/>
    <w:rsid w:val="00991ACC"/>
    <w:pPr>
      <w:spacing w:before="240" w:after="60"/>
    </w:pPr>
    <w:rPr>
      <w:rFonts w:ascii="Times New Roman" w:hAnsi="Times New Roman"/>
      <w:b/>
      <w:sz w:val="28"/>
    </w:rPr>
  </w:style>
  <w:style w:type="character" w:customStyle="1" w:styleId="Underline">
    <w:name w:val="Underline"/>
    <w:basedOn w:val="DefaultParagraphFont"/>
    <w:qFormat/>
    <w:rsid w:val="00991ACC"/>
    <w:rPr>
      <w:u w:val="single"/>
    </w:rPr>
  </w:style>
  <w:style w:type="character" w:customStyle="1" w:styleId="BoldandItalics">
    <w:name w:val="Bold and Italics"/>
    <w:qFormat/>
    <w:rsid w:val="00991ACC"/>
    <w:rPr>
      <w:b/>
      <w:i/>
      <w:u w:val="none"/>
    </w:rPr>
  </w:style>
  <w:style w:type="paragraph" w:styleId="BalloonText">
    <w:name w:val="Balloon Text"/>
    <w:basedOn w:val="Normal"/>
    <w:link w:val="BalloonTextChar"/>
    <w:rsid w:val="00991ACC"/>
    <w:rPr>
      <w:rFonts w:ascii="Tahoma" w:hAnsi="Tahoma" w:cs="Tahoma"/>
      <w:sz w:val="16"/>
      <w:szCs w:val="16"/>
    </w:rPr>
  </w:style>
  <w:style w:type="character" w:customStyle="1" w:styleId="BalloonTextChar">
    <w:name w:val="Balloon Text Char"/>
    <w:basedOn w:val="DefaultParagraphFont"/>
    <w:link w:val="BalloonText"/>
    <w:rsid w:val="00991A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1A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1A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1ACC"/>
    <w:rPr>
      <w:b/>
      <w:color w:val="660033"/>
      <w:spacing w:val="0"/>
    </w:rPr>
  </w:style>
  <w:style w:type="paragraph" w:customStyle="1" w:styleId="Nameditemlist">
    <w:name w:val="Named item list"/>
    <w:basedOn w:val="BodyText"/>
    <w:qFormat/>
    <w:rsid w:val="00991ACC"/>
    <w:pPr>
      <w:tabs>
        <w:tab w:val="left" w:pos="2835"/>
      </w:tabs>
      <w:ind w:left="2835" w:hanging="2835"/>
    </w:pPr>
  </w:style>
  <w:style w:type="paragraph" w:customStyle="1" w:styleId="BodyTextnopadding">
    <w:name w:val="Body Text no padding"/>
    <w:basedOn w:val="BodyText"/>
    <w:qFormat/>
    <w:rsid w:val="00991ACC"/>
    <w:pPr>
      <w:spacing w:before="0" w:after="0"/>
    </w:pPr>
  </w:style>
  <w:style w:type="paragraph" w:customStyle="1" w:styleId="BodyTextBold">
    <w:name w:val="Body Text Bold"/>
    <w:basedOn w:val="BodyText"/>
    <w:qFormat/>
    <w:rsid w:val="00991ACC"/>
    <w:rPr>
      <w:b/>
    </w:rPr>
  </w:style>
  <w:style w:type="character" w:styleId="Hyperlink">
    <w:name w:val="Hyperlink"/>
    <w:basedOn w:val="DefaultParagraphFont"/>
    <w:uiPriority w:val="99"/>
    <w:unhideWhenUsed/>
    <w:rsid w:val="00425A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675</Words>
  <Characters>4103</Characters>
  <Application>Microsoft Office Word</Application>
  <DocSecurity>0</DocSecurity>
  <Lines>195</Lines>
  <Paragraphs>113</Paragraphs>
  <ScaleCrop>false</ScaleCrop>
  <Company>Author-it Software Corporation Ltd.</Company>
  <LinksUpToDate>false</LinksUpToDate>
  <CharactersWithSpaces>4665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MSFSF2014 Use soft furnishing sector hand and power tools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2022-06-03T07:56:00Z</dcterms:created>
  <dcterms:modified xsi:type="dcterms:W3CDTF">2022-06-03T07:56:00Z</dcterms:modified>
</cp:coreProperties>
</file>