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0D71" w:rsidP="00CF0D71">
      <w:pPr>
        <w:pStyle w:val="Title"/>
      </w:pPr>
      <w:r>
        <w:fldChar w:fldCharType="begin"/>
      </w:r>
      <w:r>
        <w:instrText xml:space="preserve"> TITLE   \* MERGEFORMAT </w:instrText>
      </w:r>
      <w:r>
        <w:fldChar w:fldCharType="separate"/>
      </w:r>
      <w:r>
        <w:t>MSFSF2013 Dress windows</w:t>
      </w:r>
      <w:r>
        <w:fldChar w:fldCharType="end"/>
      </w:r>
    </w:p>
    <w:p w:rsidR="00CF0D71" w:rsidP="00CF0D71">
      <w:pPr>
        <w:pStyle w:val="Version"/>
        <w:sectPr w:rsidSect="00EC2F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2FFC" w:rsidP="00EC2FFC">
      <w:pPr>
        <w:pStyle w:val="SuperHeading"/>
      </w:pPr>
      <w:r w:rsidRPr="00EC2FFC">
        <w:t>MSFSF2013 Dress windows</w:t>
      </w:r>
    </w:p>
    <w:p w:rsidR="00000000" w:rsidRPr="00EC2FFC" w:rsidP="00EC2FFC">
      <w:pPr>
        <w:pStyle w:val="Heading1"/>
      </w:pPr>
      <w:bookmarkStart w:id="1" w:name="O_622057"/>
      <w:bookmarkEnd w:id="1"/>
      <w:r w:rsidRPr="00EC2FFC">
        <w:t>Modification History</w:t>
      </w:r>
    </w:p>
    <w:p w:rsidR="00000000" w:rsidRPr="00EC2FFC" w:rsidP="00CF0D71">
      <w:pPr>
        <w:pStyle w:val="BodyText"/>
      </w:pPr>
      <w:r w:rsidRPr="00EC2FFC">
        <w:t>Release 1 - New unit of competency</w:t>
      </w:r>
    </w:p>
    <w:p w:rsidR="00000000" w:rsidRPr="00EC2FFC" w:rsidP="00EC2FFC">
      <w:pPr>
        <w:pStyle w:val="Heading1"/>
      </w:pPr>
      <w:bookmarkStart w:id="2" w:name="O_622065"/>
      <w:bookmarkEnd w:id="2"/>
      <w:r w:rsidRPr="00EC2FFC">
        <w:t>Application</w:t>
      </w:r>
    </w:p>
    <w:p w:rsidR="00000000" w:rsidRPr="00EC2FFC" w:rsidP="00CF0D71">
      <w:pPr>
        <w:pStyle w:val="BodyText"/>
      </w:pPr>
      <w:r w:rsidRPr="00EC2FFC">
        <w:t>This unit of competency covers decoratively installing and adjusting window finishings.</w:t>
      </w:r>
    </w:p>
    <w:p w:rsidR="00000000" w:rsidRPr="00EC2FFC" w:rsidP="00CF0D71">
      <w:pPr>
        <w:pStyle w:val="BodyText"/>
      </w:pPr>
      <w:r w:rsidRPr="00EC2FFC">
        <w:t>Licensing, legislative or certification requirements may apply to this unit and relevant state/territor</w:t>
      </w:r>
      <w:r w:rsidRPr="00EC2FFC">
        <w:t xml:space="preserve">y and local government agencies should be consulted to determine any necessary certification or licensing for undertaking window dressing work. Access to construction sites requires certification of general induction training specified by the </w:t>
      </w:r>
      <w:r w:rsidRPr="00EC2FFC">
        <w:rPr>
          <w:rStyle w:val="Emphasis"/>
        </w:rPr>
        <w:t>National Code</w:t>
      </w:r>
      <w:r w:rsidRPr="00EC2FFC">
        <w:rPr>
          <w:rStyle w:val="Emphasis"/>
        </w:rPr>
        <w:t xml:space="preserve"> of Practice for Induction for Construction Work (ASCC 2007)</w:t>
      </w:r>
      <w:r w:rsidRPr="00EC2FFC">
        <w:t>.</w:t>
      </w:r>
    </w:p>
    <w:p w:rsidR="00000000" w:rsidRPr="00EC2FFC" w:rsidP="00EC2FFC">
      <w:pPr>
        <w:pStyle w:val="Heading1"/>
      </w:pPr>
      <w:bookmarkStart w:id="3" w:name="O_622064"/>
      <w:bookmarkEnd w:id="3"/>
      <w:r w:rsidRPr="00EC2FFC">
        <w:t>Pre-requisite Unit</w:t>
      </w:r>
    </w:p>
    <w:p w:rsidR="00000000" w:rsidRPr="00EC2FFC" w:rsidP="00EC2FFC">
      <w:pPr>
        <w:pStyle w:val="Heading1"/>
      </w:pPr>
      <w:bookmarkStart w:id="4" w:name="O_622063"/>
      <w:bookmarkEnd w:id="4"/>
      <w:r w:rsidRPr="00EC2FFC">
        <w:t>Competency Field</w:t>
      </w:r>
    </w:p>
    <w:p w:rsidR="00000000" w:rsidRPr="00EC2FFC" w:rsidP="00EC2FFC">
      <w:pPr>
        <w:pStyle w:val="Heading1"/>
      </w:pPr>
      <w:bookmarkStart w:id="5" w:name="O_622062"/>
      <w:bookmarkEnd w:id="5"/>
      <w:r w:rsidRPr="00EC2FFC">
        <w:t>Unit Sector</w:t>
      </w:r>
    </w:p>
    <w:p w:rsidR="00000000" w:rsidRPr="00EC2FFC" w:rsidP="00CF0D71">
      <w:pPr>
        <w:pStyle w:val="BodyText"/>
      </w:pPr>
      <w:r w:rsidRPr="00EC2FFC">
        <w:t>Soft Furnishing</w:t>
      </w:r>
    </w:p>
    <w:p w:rsidR="00000000" w:rsidRPr="00EC2FFC" w:rsidP="00EC2FFC">
      <w:pPr>
        <w:pStyle w:val="Heading1"/>
      </w:pPr>
      <w:bookmarkStart w:id="6" w:name="O_622061"/>
      <w:bookmarkEnd w:id="6"/>
      <w:r w:rsidRPr="00EC2FFC">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EC2FFC">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EC2FFC">
            <w:pPr>
              <w:pStyle w:val="BodyText"/>
              <w:rPr>
                <w:lang w:val="en-NZ"/>
              </w:rPr>
            </w:pPr>
            <w:r w:rsidRPr="00EC2FFC">
              <w:t>Elements describe the essentia</w:t>
            </w:r>
            <w:r w:rsidRPr="00EC2FFC">
              <w:t>l outcomes.</w:t>
            </w:r>
          </w:p>
        </w:tc>
        <w:tc>
          <w:tcPr>
            <w:tcW w:w="6527" w:type="dxa"/>
            <w:gridSpan w:val="2"/>
            <w:tcBorders>
              <w:top w:val="nil"/>
              <w:left w:val="nil"/>
              <w:bottom w:val="nil"/>
              <w:right w:val="nil"/>
            </w:tcBorders>
            <w:tcMar>
              <w:top w:w="0" w:type="dxa"/>
              <w:left w:w="62" w:type="dxa"/>
              <w:bottom w:w="0" w:type="dxa"/>
              <w:right w:w="62" w:type="dxa"/>
            </w:tcMar>
          </w:tcPr>
          <w:p w:rsidR="00000000" w:rsidP="00EC2FFC">
            <w:pPr>
              <w:pStyle w:val="BodyText"/>
              <w:rPr>
                <w:lang w:val="en-NZ"/>
              </w:rPr>
            </w:pPr>
            <w:r w:rsidRPr="00EC2FFC">
              <w:t>Performance criteria describe the performance needed to demonstrate achievement of the element.</w:t>
            </w:r>
          </w:p>
        </w:tc>
      </w:tr>
      <w:tr w:rsidTr="00EC2FF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C2FFC">
            <w:pPr>
              <w:pStyle w:val="BodyText"/>
              <w:rPr>
                <w:lang w:val="en-NZ"/>
              </w:rPr>
            </w:pPr>
            <w:r w:rsidRPr="00EC2FFC">
              <w:t>1</w:t>
            </w:r>
          </w:p>
        </w:tc>
        <w:tc>
          <w:tcPr>
            <w:tcW w:w="2219" w:type="dxa"/>
            <w:vMerge w:val="restart"/>
            <w:tcBorders>
              <w:top w:val="nil"/>
              <w:left w:val="nil"/>
              <w:bottom w:val="nil"/>
              <w:right w:val="nil"/>
            </w:tcBorders>
            <w:tcMar>
              <w:top w:w="0" w:type="dxa"/>
              <w:left w:w="62" w:type="dxa"/>
              <w:bottom w:w="0" w:type="dxa"/>
              <w:right w:w="62" w:type="dxa"/>
            </w:tcMar>
          </w:tcPr>
          <w:p w:rsidR="00000000" w:rsidRPr="00EC2FFC" w:rsidP="00EC2FFC">
            <w:pPr>
              <w:pStyle w:val="BodyText"/>
            </w:pPr>
            <w:r w:rsidRPr="00EC2FFC">
              <w:t>Identify window finishings to be installed</w:t>
            </w:r>
          </w:p>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C2FFC">
            <w:pPr>
              <w:pStyle w:val="BodyText"/>
              <w:rPr>
                <w:lang w:val="en-NZ"/>
              </w:rPr>
            </w:pPr>
            <w:r w:rsidRPr="00EC2FFC">
              <w:t>1.1</w:t>
            </w:r>
          </w:p>
        </w:tc>
        <w:tc>
          <w:tcPr>
            <w:tcW w:w="5866" w:type="dxa"/>
            <w:tcBorders>
              <w:top w:val="nil"/>
              <w:left w:val="nil"/>
              <w:bottom w:val="nil"/>
              <w:right w:val="nil"/>
            </w:tcBorders>
            <w:tcMar>
              <w:top w:w="0" w:type="dxa"/>
              <w:left w:w="62" w:type="dxa"/>
              <w:bottom w:w="0" w:type="dxa"/>
              <w:right w:w="62" w:type="dxa"/>
            </w:tcMar>
          </w:tcPr>
          <w:p w:rsidR="00000000" w:rsidP="00EC2FFC">
            <w:pPr>
              <w:pStyle w:val="BodyText"/>
              <w:rPr>
                <w:lang w:val="en-NZ"/>
              </w:rPr>
            </w:pPr>
            <w:r w:rsidRPr="00EC2FFC">
              <w:t>Type of window finishings to be fitted and work order requirements are identified</w:t>
            </w:r>
          </w:p>
        </w:tc>
      </w:tr>
      <w:tr w:rsidTr="00EC2FF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C2FFC">
            <w:pPr>
              <w:pStyle w:val="BodyText"/>
              <w:rPr>
                <w:lang w:val="en-NZ"/>
              </w:rPr>
            </w:pPr>
            <w:r w:rsidRPr="00EC2FFC">
              <w:t>1.2</w:t>
            </w:r>
          </w:p>
        </w:tc>
        <w:tc>
          <w:tcPr>
            <w:tcW w:w="5866" w:type="dxa"/>
            <w:tcBorders>
              <w:top w:val="nil"/>
              <w:left w:val="nil"/>
              <w:bottom w:val="nil"/>
              <w:right w:val="nil"/>
            </w:tcBorders>
            <w:tcMar>
              <w:top w:w="0" w:type="dxa"/>
              <w:left w:w="62" w:type="dxa"/>
              <w:bottom w:w="0" w:type="dxa"/>
              <w:right w:w="62" w:type="dxa"/>
            </w:tcMar>
          </w:tcPr>
          <w:p w:rsidR="00000000" w:rsidP="00EC2FFC">
            <w:pPr>
              <w:pStyle w:val="BodyText"/>
              <w:rPr>
                <w:lang w:val="en-NZ"/>
              </w:rPr>
            </w:pPr>
            <w:r w:rsidRPr="00EC2FFC">
              <w:t>Materials and tools are identified from work instructions and, where necessary, site inspection</w:t>
            </w:r>
          </w:p>
        </w:tc>
      </w:tr>
      <w:tr w:rsidTr="00EC2FF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C2FFC">
            <w:pPr>
              <w:pStyle w:val="BodyText"/>
              <w:rPr>
                <w:lang w:val="en-NZ"/>
              </w:rPr>
            </w:pPr>
            <w:r w:rsidRPr="00EC2FFC">
              <w:t>1.3</w:t>
            </w:r>
          </w:p>
        </w:tc>
        <w:tc>
          <w:tcPr>
            <w:tcW w:w="5866" w:type="dxa"/>
            <w:tcBorders>
              <w:top w:val="nil"/>
              <w:left w:val="nil"/>
              <w:bottom w:val="nil"/>
              <w:right w:val="nil"/>
            </w:tcBorders>
            <w:tcMar>
              <w:top w:w="0" w:type="dxa"/>
              <w:left w:w="62" w:type="dxa"/>
              <w:bottom w:w="0" w:type="dxa"/>
              <w:right w:w="62" w:type="dxa"/>
            </w:tcMar>
          </w:tcPr>
          <w:p w:rsidR="00000000" w:rsidP="00EC2FFC">
            <w:pPr>
              <w:pStyle w:val="BodyText"/>
              <w:rPr>
                <w:lang w:val="en-NZ"/>
              </w:rPr>
            </w:pPr>
            <w:r w:rsidRPr="00EC2FFC">
              <w:t>The effect of the fitting process on overall finished window is identified</w:t>
            </w:r>
          </w:p>
        </w:tc>
      </w:tr>
      <w:tr w:rsidTr="00EC2FF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C2FFC">
            <w:pPr>
              <w:pStyle w:val="BodyText"/>
              <w:rPr>
                <w:lang w:val="en-NZ"/>
              </w:rPr>
            </w:pPr>
            <w:r w:rsidRPr="00EC2FFC">
              <w:t>2</w:t>
            </w:r>
          </w:p>
        </w:tc>
        <w:tc>
          <w:tcPr>
            <w:tcW w:w="2219" w:type="dxa"/>
            <w:tcBorders>
              <w:top w:val="nil"/>
              <w:left w:val="nil"/>
              <w:bottom w:val="nil"/>
              <w:right w:val="nil"/>
            </w:tcBorders>
            <w:tcMar>
              <w:top w:w="0" w:type="dxa"/>
              <w:left w:w="62" w:type="dxa"/>
              <w:bottom w:w="0" w:type="dxa"/>
              <w:right w:w="62" w:type="dxa"/>
            </w:tcMar>
          </w:tcPr>
          <w:p w:rsidR="00000000" w:rsidP="00EC2FFC">
            <w:pPr>
              <w:pStyle w:val="BodyText"/>
              <w:rPr>
                <w:lang w:val="en-NZ"/>
              </w:rPr>
            </w:pPr>
            <w:r w:rsidRPr="00EC2FFC">
              <w:t>Plan process for dressing window</w:t>
            </w:r>
          </w:p>
        </w:tc>
        <w:tc>
          <w:tcPr>
            <w:tcW w:w="661" w:type="dxa"/>
            <w:tcBorders>
              <w:top w:val="nil"/>
              <w:left w:val="nil"/>
              <w:bottom w:val="nil"/>
              <w:right w:val="nil"/>
            </w:tcBorders>
            <w:tcMar>
              <w:top w:w="0" w:type="dxa"/>
              <w:left w:w="62" w:type="dxa"/>
              <w:bottom w:w="0" w:type="dxa"/>
              <w:right w:w="62" w:type="dxa"/>
            </w:tcMar>
          </w:tcPr>
          <w:p w:rsidR="00000000" w:rsidP="00EC2FFC">
            <w:pPr>
              <w:pStyle w:val="BodyText"/>
              <w:rPr>
                <w:lang w:val="en-NZ"/>
              </w:rPr>
            </w:pPr>
            <w:r w:rsidRPr="00EC2FFC">
              <w:t>2.1</w:t>
            </w:r>
          </w:p>
        </w:tc>
        <w:tc>
          <w:tcPr>
            <w:tcW w:w="5866" w:type="dxa"/>
            <w:tcBorders>
              <w:top w:val="nil"/>
              <w:left w:val="nil"/>
              <w:bottom w:val="nil"/>
              <w:right w:val="nil"/>
            </w:tcBorders>
            <w:tcMar>
              <w:top w:w="0" w:type="dxa"/>
              <w:left w:w="62" w:type="dxa"/>
              <w:bottom w:w="0" w:type="dxa"/>
              <w:right w:w="62" w:type="dxa"/>
            </w:tcMar>
          </w:tcPr>
          <w:p w:rsidR="00000000" w:rsidP="00EC2FFC">
            <w:pPr>
              <w:pStyle w:val="BodyText"/>
              <w:rPr>
                <w:lang w:val="en-NZ"/>
              </w:rPr>
            </w:pPr>
            <w:r w:rsidRPr="00EC2FFC">
              <w:t>Work health and safety (WHS) requirem</w:t>
            </w:r>
            <w:r w:rsidRPr="00EC2FFC">
              <w:t>ents, including ergonomic criteria and personal protection needs, are observed throughout the work</w:t>
            </w:r>
          </w:p>
        </w:tc>
      </w:tr>
      <w:tr w:rsidTr="00EC2FF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C2FFC">
            <w:pPr>
              <w:pStyle w:val="BodyText"/>
              <w:rPr>
                <w:lang w:val="en-NZ"/>
              </w:rPr>
            </w:pPr>
            <w:r w:rsidRPr="00EC2FFC">
              <w:t>2.2</w:t>
            </w:r>
          </w:p>
        </w:tc>
        <w:tc>
          <w:tcPr>
            <w:tcW w:w="5866" w:type="dxa"/>
            <w:tcBorders>
              <w:top w:val="nil"/>
              <w:left w:val="nil"/>
              <w:bottom w:val="nil"/>
              <w:right w:val="nil"/>
            </w:tcBorders>
            <w:tcMar>
              <w:top w:w="0" w:type="dxa"/>
              <w:left w:w="62" w:type="dxa"/>
              <w:bottom w:w="0" w:type="dxa"/>
              <w:right w:w="62" w:type="dxa"/>
            </w:tcMar>
          </w:tcPr>
          <w:p w:rsidR="00000000" w:rsidP="00EC2FFC">
            <w:pPr>
              <w:pStyle w:val="BodyText"/>
              <w:rPr>
                <w:lang w:val="en-NZ"/>
              </w:rPr>
            </w:pPr>
            <w:r w:rsidRPr="00EC2FFC">
              <w:t xml:space="preserve">Appropriate equipment is identified to minimise risks of </w:t>
            </w:r>
            <w:r w:rsidRPr="00EC2FFC">
              <w:t>damage to customers’ premises or injuries to self</w:t>
            </w:r>
          </w:p>
        </w:tc>
      </w:tr>
      <w:tr w:rsidTr="00EC2FF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C2FFC">
            <w:pPr>
              <w:pStyle w:val="BodyText"/>
              <w:rPr>
                <w:lang w:val="en-NZ"/>
              </w:rPr>
            </w:pPr>
            <w:r w:rsidRPr="00EC2FFC">
              <w:t>2.3</w:t>
            </w:r>
          </w:p>
        </w:tc>
        <w:tc>
          <w:tcPr>
            <w:tcW w:w="5866" w:type="dxa"/>
            <w:tcBorders>
              <w:top w:val="nil"/>
              <w:left w:val="nil"/>
              <w:bottom w:val="nil"/>
              <w:right w:val="nil"/>
            </w:tcBorders>
            <w:tcMar>
              <w:top w:w="0" w:type="dxa"/>
              <w:left w:w="62" w:type="dxa"/>
              <w:bottom w:w="0" w:type="dxa"/>
              <w:right w:w="62" w:type="dxa"/>
            </w:tcMar>
          </w:tcPr>
          <w:p w:rsidR="00000000" w:rsidP="00EC2FFC">
            <w:pPr>
              <w:pStyle w:val="BodyText"/>
              <w:rPr>
                <w:lang w:val="en-NZ"/>
              </w:rPr>
            </w:pPr>
            <w:r w:rsidRPr="00EC2FFC">
              <w:t>Manufacturer information on products used is located and used to plan work</w:t>
            </w:r>
          </w:p>
        </w:tc>
      </w:tr>
      <w:tr w:rsidTr="00EC2FF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C2FFC">
            <w:pPr>
              <w:pStyle w:val="BodyText"/>
              <w:rPr>
                <w:lang w:val="en-NZ"/>
              </w:rPr>
            </w:pPr>
            <w:r w:rsidRPr="00EC2FFC">
              <w:t>2.4</w:t>
            </w:r>
          </w:p>
        </w:tc>
        <w:tc>
          <w:tcPr>
            <w:tcW w:w="5866" w:type="dxa"/>
            <w:tcBorders>
              <w:top w:val="nil"/>
              <w:left w:val="nil"/>
              <w:bottom w:val="nil"/>
              <w:right w:val="nil"/>
            </w:tcBorders>
            <w:tcMar>
              <w:top w:w="0" w:type="dxa"/>
              <w:left w:w="62" w:type="dxa"/>
              <w:bottom w:w="0" w:type="dxa"/>
              <w:right w:w="62" w:type="dxa"/>
            </w:tcMar>
          </w:tcPr>
          <w:p w:rsidR="00000000" w:rsidP="00EC2FFC">
            <w:pPr>
              <w:pStyle w:val="BodyText"/>
              <w:rPr>
                <w:lang w:val="en-NZ"/>
              </w:rPr>
            </w:pPr>
            <w:r w:rsidRPr="00EC2FFC">
              <w:t>Decorator</w:t>
            </w:r>
            <w:r>
              <w:t>’</w:t>
            </w:r>
            <w:r w:rsidRPr="00EC2FFC">
              <w:t>s specifications, if any, are used to plan work</w:t>
            </w:r>
          </w:p>
        </w:tc>
      </w:tr>
      <w:tr w:rsidTr="00EC2FF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C2FFC">
            <w:pPr>
              <w:pStyle w:val="BodyText"/>
              <w:rPr>
                <w:lang w:val="en-NZ"/>
              </w:rPr>
            </w:pPr>
            <w:r w:rsidRPr="00EC2FFC">
              <w:t>2.5</w:t>
            </w:r>
          </w:p>
        </w:tc>
        <w:tc>
          <w:tcPr>
            <w:tcW w:w="5866" w:type="dxa"/>
            <w:tcBorders>
              <w:top w:val="nil"/>
              <w:left w:val="nil"/>
              <w:bottom w:val="nil"/>
              <w:right w:val="nil"/>
            </w:tcBorders>
            <w:tcMar>
              <w:top w:w="0" w:type="dxa"/>
              <w:left w:w="62" w:type="dxa"/>
              <w:bottom w:w="0" w:type="dxa"/>
              <w:right w:w="62" w:type="dxa"/>
            </w:tcMar>
          </w:tcPr>
          <w:p w:rsidR="00000000" w:rsidP="00EC2FFC">
            <w:pPr>
              <w:pStyle w:val="BodyText"/>
              <w:rPr>
                <w:lang w:val="en-NZ"/>
              </w:rPr>
            </w:pPr>
            <w:r w:rsidRPr="00EC2FFC">
              <w:t>Attachment process is planned to conform to quality requirements, minimise time, economically use materials a</w:t>
            </w:r>
            <w:r w:rsidRPr="00EC2FFC">
              <w:t>nd maximise appearance of the finished work</w:t>
            </w:r>
          </w:p>
        </w:tc>
      </w:tr>
      <w:tr w:rsidTr="00EC2FF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C2FFC">
            <w:pPr>
              <w:pStyle w:val="BodyText"/>
              <w:rPr>
                <w:lang w:val="en-NZ"/>
              </w:rPr>
            </w:pPr>
            <w:r w:rsidRPr="00EC2FFC">
              <w:t>2.6</w:t>
            </w:r>
          </w:p>
        </w:tc>
        <w:tc>
          <w:tcPr>
            <w:tcW w:w="5866" w:type="dxa"/>
            <w:tcBorders>
              <w:top w:val="nil"/>
              <w:left w:val="nil"/>
              <w:bottom w:val="nil"/>
              <w:right w:val="nil"/>
            </w:tcBorders>
            <w:tcMar>
              <w:top w:w="0" w:type="dxa"/>
              <w:left w:w="62" w:type="dxa"/>
              <w:bottom w:w="0" w:type="dxa"/>
              <w:right w:w="62" w:type="dxa"/>
            </w:tcMar>
          </w:tcPr>
          <w:p w:rsidR="00000000" w:rsidP="00EC2FFC">
            <w:pPr>
              <w:pStyle w:val="BodyText"/>
              <w:rPr>
                <w:lang w:val="en-NZ"/>
              </w:rPr>
            </w:pPr>
            <w:r w:rsidRPr="00EC2FFC">
              <w:t>Tools, equipment and materials are selected and checked prior to use to ensure that they are appropriate for the work, serviceable and in a safe condition</w:t>
            </w:r>
          </w:p>
        </w:tc>
      </w:tr>
      <w:tr w:rsidTr="00EC2FF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C2FFC">
            <w:pPr>
              <w:pStyle w:val="BodyText"/>
              <w:rPr>
                <w:lang w:val="en-NZ"/>
              </w:rPr>
            </w:pPr>
            <w:r w:rsidRPr="00EC2FFC">
              <w:t>3</w:t>
            </w:r>
          </w:p>
        </w:tc>
        <w:tc>
          <w:tcPr>
            <w:tcW w:w="2219" w:type="dxa"/>
            <w:tcBorders>
              <w:top w:val="nil"/>
              <w:left w:val="nil"/>
              <w:bottom w:val="nil"/>
              <w:right w:val="nil"/>
            </w:tcBorders>
            <w:tcMar>
              <w:top w:w="0" w:type="dxa"/>
              <w:left w:w="62" w:type="dxa"/>
              <w:bottom w:w="0" w:type="dxa"/>
              <w:right w:w="62" w:type="dxa"/>
            </w:tcMar>
          </w:tcPr>
          <w:p w:rsidR="00000000" w:rsidP="00EC2FFC">
            <w:pPr>
              <w:pStyle w:val="BodyText"/>
              <w:rPr>
                <w:lang w:val="en-NZ"/>
              </w:rPr>
            </w:pPr>
            <w:r w:rsidRPr="00EC2FFC">
              <w:t>Complete fitting operations</w:t>
            </w:r>
          </w:p>
        </w:tc>
        <w:tc>
          <w:tcPr>
            <w:tcW w:w="661" w:type="dxa"/>
            <w:tcBorders>
              <w:top w:val="nil"/>
              <w:left w:val="nil"/>
              <w:bottom w:val="nil"/>
              <w:right w:val="nil"/>
            </w:tcBorders>
            <w:tcMar>
              <w:top w:w="0" w:type="dxa"/>
              <w:left w:w="62" w:type="dxa"/>
              <w:bottom w:w="0" w:type="dxa"/>
              <w:right w:w="62" w:type="dxa"/>
            </w:tcMar>
          </w:tcPr>
          <w:p w:rsidR="00000000" w:rsidP="00EC2FFC">
            <w:pPr>
              <w:pStyle w:val="BodyText"/>
              <w:rPr>
                <w:lang w:val="en-NZ"/>
              </w:rPr>
            </w:pPr>
            <w:r w:rsidRPr="00EC2FFC">
              <w:t>3.1</w:t>
            </w:r>
          </w:p>
        </w:tc>
        <w:tc>
          <w:tcPr>
            <w:tcW w:w="5866" w:type="dxa"/>
            <w:tcBorders>
              <w:top w:val="nil"/>
              <w:left w:val="nil"/>
              <w:bottom w:val="nil"/>
              <w:right w:val="nil"/>
            </w:tcBorders>
            <w:tcMar>
              <w:top w:w="0" w:type="dxa"/>
              <w:left w:w="62" w:type="dxa"/>
              <w:bottom w:w="0" w:type="dxa"/>
              <w:right w:w="62" w:type="dxa"/>
            </w:tcMar>
          </w:tcPr>
          <w:p w:rsidR="00000000" w:rsidP="00EC2FFC">
            <w:pPr>
              <w:pStyle w:val="BodyText"/>
              <w:rPr>
                <w:lang w:val="en-NZ"/>
              </w:rPr>
            </w:pPr>
            <w:r w:rsidRPr="00EC2FFC">
              <w:t>Backing is attached, where appropriate, to the curtain using appropriate fittings</w:t>
            </w:r>
          </w:p>
        </w:tc>
      </w:tr>
      <w:tr w:rsidTr="00EC2FF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C2FFC">
            <w:pPr>
              <w:pStyle w:val="BodyText"/>
              <w:rPr>
                <w:lang w:val="en-NZ"/>
              </w:rPr>
            </w:pPr>
            <w:r w:rsidRPr="00EC2FFC">
              <w:t>3.2</w:t>
            </w:r>
          </w:p>
        </w:tc>
        <w:tc>
          <w:tcPr>
            <w:tcW w:w="5866" w:type="dxa"/>
            <w:tcBorders>
              <w:top w:val="nil"/>
              <w:left w:val="nil"/>
              <w:bottom w:val="nil"/>
              <w:right w:val="nil"/>
            </w:tcBorders>
            <w:tcMar>
              <w:top w:w="0" w:type="dxa"/>
              <w:left w:w="62" w:type="dxa"/>
              <w:bottom w:w="0" w:type="dxa"/>
              <w:right w:w="62" w:type="dxa"/>
            </w:tcMar>
          </w:tcPr>
          <w:p w:rsidR="00000000" w:rsidP="00EC2FFC">
            <w:pPr>
              <w:pStyle w:val="BodyText"/>
              <w:rPr>
                <w:lang w:val="en-NZ"/>
              </w:rPr>
            </w:pPr>
            <w:r w:rsidRPr="00EC2FFC">
              <w:t>Required number of glides are identified, matched between window finishing, and tracks added or removed as required</w:t>
            </w:r>
          </w:p>
        </w:tc>
      </w:tr>
      <w:tr w:rsidTr="00EC2FF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C2FFC">
            <w:pPr>
              <w:pStyle w:val="BodyText"/>
              <w:rPr>
                <w:lang w:val="en-NZ"/>
              </w:rPr>
            </w:pPr>
            <w:r w:rsidRPr="00EC2FFC">
              <w:t>3.3</w:t>
            </w:r>
          </w:p>
        </w:tc>
        <w:tc>
          <w:tcPr>
            <w:tcW w:w="5866" w:type="dxa"/>
            <w:tcBorders>
              <w:top w:val="nil"/>
              <w:left w:val="nil"/>
              <w:bottom w:val="nil"/>
              <w:right w:val="nil"/>
            </w:tcBorders>
            <w:tcMar>
              <w:top w:w="0" w:type="dxa"/>
              <w:left w:w="62" w:type="dxa"/>
              <w:bottom w:w="0" w:type="dxa"/>
              <w:right w:w="62" w:type="dxa"/>
            </w:tcMar>
          </w:tcPr>
          <w:p w:rsidR="00000000" w:rsidP="00EC2FFC">
            <w:pPr>
              <w:pStyle w:val="BodyText"/>
              <w:rPr>
                <w:lang w:val="en-NZ"/>
              </w:rPr>
            </w:pPr>
            <w:r w:rsidRPr="00EC2FFC">
              <w:t xml:space="preserve">Curtains are attached to tracks and checked </w:t>
            </w:r>
            <w:r w:rsidRPr="00EC2FFC">
              <w:t>for smooth and even operation and hanging</w:t>
            </w:r>
          </w:p>
        </w:tc>
      </w:tr>
      <w:tr w:rsidTr="00EC2FF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C2FFC">
            <w:pPr>
              <w:pStyle w:val="BodyText"/>
              <w:rPr>
                <w:lang w:val="en-NZ"/>
              </w:rPr>
            </w:pPr>
            <w:r w:rsidRPr="00EC2FFC">
              <w:t>3.4</w:t>
            </w:r>
          </w:p>
        </w:tc>
        <w:tc>
          <w:tcPr>
            <w:tcW w:w="5866" w:type="dxa"/>
            <w:tcBorders>
              <w:top w:val="nil"/>
              <w:left w:val="nil"/>
              <w:bottom w:val="nil"/>
              <w:right w:val="nil"/>
            </w:tcBorders>
            <w:tcMar>
              <w:top w:w="0" w:type="dxa"/>
              <w:left w:w="62" w:type="dxa"/>
              <w:bottom w:w="0" w:type="dxa"/>
              <w:right w:w="62" w:type="dxa"/>
            </w:tcMar>
          </w:tcPr>
          <w:p w:rsidR="00000000" w:rsidP="00EC2FFC">
            <w:pPr>
              <w:pStyle w:val="BodyText"/>
              <w:rPr>
                <w:lang w:val="en-NZ"/>
              </w:rPr>
            </w:pPr>
            <w:r w:rsidRPr="00EC2FFC">
              <w:t>Curtain height and floor clearance is checked and compared to work order requirement</w:t>
            </w:r>
          </w:p>
        </w:tc>
      </w:tr>
      <w:tr w:rsidTr="00EC2FF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C2FFC">
            <w:pPr>
              <w:pStyle w:val="BodyText"/>
              <w:rPr>
                <w:lang w:val="en-NZ"/>
              </w:rPr>
            </w:pPr>
            <w:r w:rsidRPr="00EC2FFC">
              <w:t>3.5</w:t>
            </w:r>
          </w:p>
        </w:tc>
        <w:tc>
          <w:tcPr>
            <w:tcW w:w="5866" w:type="dxa"/>
            <w:tcBorders>
              <w:top w:val="nil"/>
              <w:left w:val="nil"/>
              <w:bottom w:val="nil"/>
              <w:right w:val="nil"/>
            </w:tcBorders>
            <w:tcMar>
              <w:top w:w="0" w:type="dxa"/>
              <w:left w:w="62" w:type="dxa"/>
              <w:bottom w:w="0" w:type="dxa"/>
              <w:right w:w="62" w:type="dxa"/>
            </w:tcMar>
          </w:tcPr>
          <w:p w:rsidR="00000000" w:rsidP="00EC2FFC">
            <w:pPr>
              <w:pStyle w:val="BodyText"/>
              <w:rPr>
                <w:lang w:val="en-NZ"/>
              </w:rPr>
            </w:pPr>
            <w:r w:rsidRPr="00EC2FFC">
              <w:t>Pelmets, valances, swags, pull-backs or tie-back holders are fitted using appropriate hardware and adjusted for fal</w:t>
            </w:r>
            <w:r w:rsidRPr="00EC2FFC">
              <w:t>l, neatness and appearance</w:t>
            </w:r>
          </w:p>
        </w:tc>
      </w:tr>
      <w:tr w:rsidTr="00EC2FF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C2FFC">
            <w:pPr>
              <w:pStyle w:val="BodyText"/>
              <w:rPr>
                <w:lang w:val="en-NZ"/>
              </w:rPr>
            </w:pPr>
            <w:r w:rsidRPr="00EC2FFC">
              <w:t>3.6</w:t>
            </w:r>
          </w:p>
        </w:tc>
        <w:tc>
          <w:tcPr>
            <w:tcW w:w="5866" w:type="dxa"/>
            <w:tcBorders>
              <w:top w:val="nil"/>
              <w:left w:val="nil"/>
              <w:bottom w:val="nil"/>
              <w:right w:val="nil"/>
            </w:tcBorders>
            <w:tcMar>
              <w:top w:w="0" w:type="dxa"/>
              <w:left w:w="62" w:type="dxa"/>
              <w:bottom w:w="0" w:type="dxa"/>
              <w:right w:w="62" w:type="dxa"/>
            </w:tcMar>
          </w:tcPr>
          <w:p w:rsidR="00000000" w:rsidP="00EC2FFC">
            <w:pPr>
              <w:pStyle w:val="BodyText"/>
              <w:rPr>
                <w:lang w:val="en-NZ"/>
              </w:rPr>
            </w:pPr>
            <w:r w:rsidRPr="00EC2FFC">
              <w:t>Where required, pleats are folded and tied to maintain required pleating</w:t>
            </w:r>
          </w:p>
        </w:tc>
      </w:tr>
      <w:tr w:rsidTr="00EC2FF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C2FFC">
            <w:pPr>
              <w:pStyle w:val="BodyText"/>
              <w:rPr>
                <w:lang w:val="en-NZ"/>
              </w:rPr>
            </w:pPr>
            <w:r w:rsidRPr="00EC2FFC">
              <w:t>4</w:t>
            </w:r>
          </w:p>
        </w:tc>
        <w:tc>
          <w:tcPr>
            <w:tcW w:w="2219" w:type="dxa"/>
            <w:tcBorders>
              <w:top w:val="nil"/>
              <w:left w:val="nil"/>
              <w:bottom w:val="nil"/>
              <w:right w:val="nil"/>
            </w:tcBorders>
            <w:tcMar>
              <w:top w:w="0" w:type="dxa"/>
              <w:left w:w="62" w:type="dxa"/>
              <w:bottom w:w="0" w:type="dxa"/>
              <w:right w:w="62" w:type="dxa"/>
            </w:tcMar>
          </w:tcPr>
          <w:p w:rsidR="00000000" w:rsidP="00EC2FFC">
            <w:pPr>
              <w:pStyle w:val="BodyText"/>
              <w:rPr>
                <w:lang w:val="en-NZ"/>
              </w:rPr>
            </w:pPr>
            <w:r w:rsidRPr="00EC2FFC">
              <w:t>Clean work area</w:t>
            </w:r>
          </w:p>
        </w:tc>
        <w:tc>
          <w:tcPr>
            <w:tcW w:w="661" w:type="dxa"/>
            <w:tcBorders>
              <w:top w:val="nil"/>
              <w:left w:val="nil"/>
              <w:bottom w:val="nil"/>
              <w:right w:val="nil"/>
            </w:tcBorders>
            <w:tcMar>
              <w:top w:w="0" w:type="dxa"/>
              <w:left w:w="62" w:type="dxa"/>
              <w:bottom w:w="0" w:type="dxa"/>
              <w:right w:w="62" w:type="dxa"/>
            </w:tcMar>
          </w:tcPr>
          <w:p w:rsidR="00000000" w:rsidP="00EC2FFC">
            <w:pPr>
              <w:pStyle w:val="BodyText"/>
              <w:rPr>
                <w:lang w:val="en-NZ"/>
              </w:rPr>
            </w:pPr>
            <w:r w:rsidRPr="00EC2FFC">
              <w:t>4.1</w:t>
            </w:r>
          </w:p>
        </w:tc>
        <w:tc>
          <w:tcPr>
            <w:tcW w:w="5866" w:type="dxa"/>
            <w:tcBorders>
              <w:top w:val="nil"/>
              <w:left w:val="nil"/>
              <w:bottom w:val="nil"/>
              <w:right w:val="nil"/>
            </w:tcBorders>
            <w:tcMar>
              <w:top w:w="0" w:type="dxa"/>
              <w:left w:w="62" w:type="dxa"/>
              <w:bottom w:w="0" w:type="dxa"/>
              <w:right w:w="62" w:type="dxa"/>
            </w:tcMar>
          </w:tcPr>
          <w:p w:rsidR="00000000" w:rsidP="00EC2FFC">
            <w:pPr>
              <w:pStyle w:val="BodyText"/>
              <w:rPr>
                <w:lang w:val="en-NZ"/>
              </w:rPr>
            </w:pPr>
            <w:r w:rsidRPr="00EC2FFC">
              <w:t>Worksite and any equipment used is cleaned and stored appropriately</w:t>
            </w:r>
          </w:p>
        </w:tc>
      </w:tr>
      <w:tr w:rsidTr="00EC2FF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C2FFC">
            <w:pPr>
              <w:pStyle w:val="BodyText"/>
              <w:rPr>
                <w:lang w:val="en-NZ"/>
              </w:rPr>
            </w:pPr>
            <w:r w:rsidRPr="00EC2FFC">
              <w:t>4.2</w:t>
            </w:r>
          </w:p>
        </w:tc>
        <w:tc>
          <w:tcPr>
            <w:tcW w:w="5866" w:type="dxa"/>
            <w:tcBorders>
              <w:top w:val="nil"/>
              <w:left w:val="nil"/>
              <w:bottom w:val="nil"/>
              <w:right w:val="nil"/>
            </w:tcBorders>
            <w:tcMar>
              <w:top w:w="0" w:type="dxa"/>
              <w:left w:w="62" w:type="dxa"/>
              <w:bottom w:w="0" w:type="dxa"/>
              <w:right w:w="62" w:type="dxa"/>
            </w:tcMar>
          </w:tcPr>
          <w:p w:rsidR="00000000" w:rsidP="00EC2FFC">
            <w:pPr>
              <w:pStyle w:val="BodyText"/>
              <w:rPr>
                <w:lang w:val="en-NZ"/>
              </w:rPr>
            </w:pPr>
            <w:r w:rsidRPr="00EC2FFC">
              <w:t>Unserviceable equipment is tagged, faults are identified and appropriate personnel are informed</w:t>
            </w:r>
          </w:p>
        </w:tc>
      </w:tr>
      <w:tr w:rsidTr="00EC2FF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C2FFC">
            <w:pPr>
              <w:pStyle w:val="BodyText"/>
              <w:rPr>
                <w:lang w:val="en-NZ"/>
              </w:rPr>
            </w:pPr>
            <w:r w:rsidRPr="00EC2FFC">
              <w:t>4.3</w:t>
            </w:r>
          </w:p>
        </w:tc>
        <w:tc>
          <w:tcPr>
            <w:tcW w:w="5866" w:type="dxa"/>
            <w:tcBorders>
              <w:top w:val="nil"/>
              <w:left w:val="nil"/>
              <w:bottom w:val="nil"/>
              <w:right w:val="nil"/>
            </w:tcBorders>
            <w:tcMar>
              <w:top w:w="0" w:type="dxa"/>
              <w:left w:w="62" w:type="dxa"/>
              <w:bottom w:w="0" w:type="dxa"/>
              <w:right w:w="62" w:type="dxa"/>
            </w:tcMar>
          </w:tcPr>
          <w:p w:rsidR="00000000" w:rsidP="00EC2FFC">
            <w:pPr>
              <w:pStyle w:val="BodyText"/>
              <w:rPr>
                <w:lang w:val="en-NZ"/>
              </w:rPr>
            </w:pPr>
            <w:r w:rsidRPr="00EC2FFC">
              <w:t>Completed work is inspected and compared to workplace quality requirements</w:t>
            </w:r>
          </w:p>
        </w:tc>
      </w:tr>
      <w:tr w:rsidTr="00EC2FF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C2FFC">
            <w:pPr>
              <w:pStyle w:val="BodyText"/>
              <w:rPr>
                <w:lang w:val="en-NZ"/>
              </w:rPr>
            </w:pPr>
            <w:r w:rsidRPr="00EC2FFC">
              <w:t>4.4</w:t>
            </w:r>
          </w:p>
        </w:tc>
        <w:tc>
          <w:tcPr>
            <w:tcW w:w="5866" w:type="dxa"/>
            <w:tcBorders>
              <w:top w:val="nil"/>
              <w:left w:val="nil"/>
              <w:bottom w:val="nil"/>
              <w:right w:val="nil"/>
            </w:tcBorders>
            <w:tcMar>
              <w:top w:w="0" w:type="dxa"/>
              <w:left w:w="62" w:type="dxa"/>
              <w:bottom w:w="0" w:type="dxa"/>
              <w:right w:w="62" w:type="dxa"/>
            </w:tcMar>
          </w:tcPr>
          <w:p w:rsidR="00000000" w:rsidP="00EC2FFC">
            <w:pPr>
              <w:pStyle w:val="BodyText"/>
              <w:rPr>
                <w:lang w:val="en-NZ"/>
              </w:rPr>
            </w:pPr>
            <w:r w:rsidRPr="00EC2FFC">
              <w:t>Fittings and curtains which do not meet quality specifications are repaired on-site or returned to the workroom for repair</w:t>
            </w:r>
          </w:p>
        </w:tc>
      </w:tr>
      <w:tr w:rsidTr="00EC2FF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C2FFC">
            <w:pPr>
              <w:pStyle w:val="BodyText"/>
              <w:rPr>
                <w:lang w:val="en-NZ"/>
              </w:rPr>
            </w:pPr>
            <w:r w:rsidRPr="00EC2FFC">
              <w:t>4.5</w:t>
            </w:r>
          </w:p>
        </w:tc>
        <w:tc>
          <w:tcPr>
            <w:tcW w:w="5866" w:type="dxa"/>
            <w:tcBorders>
              <w:top w:val="nil"/>
              <w:left w:val="nil"/>
              <w:bottom w:val="nil"/>
              <w:right w:val="nil"/>
            </w:tcBorders>
            <w:tcMar>
              <w:top w:w="0" w:type="dxa"/>
              <w:left w:w="62" w:type="dxa"/>
              <w:bottom w:w="0" w:type="dxa"/>
              <w:right w:w="62" w:type="dxa"/>
            </w:tcMar>
          </w:tcPr>
          <w:p w:rsidR="00000000" w:rsidRPr="00EC2FFC" w:rsidP="00EC2FFC">
            <w:pPr>
              <w:pStyle w:val="BodyText"/>
            </w:pPr>
            <w:r w:rsidRPr="00EC2FFC">
              <w:t>Appropriate documentation or reporting is completed</w:t>
            </w:r>
          </w:p>
        </w:tc>
      </w:tr>
    </w:tbl>
    <w:p w:rsidR="00000000" w:rsidRPr="00EC2FFC" w:rsidP="00EC2FFC">
      <w:pPr>
        <w:pStyle w:val="BodyText"/>
      </w:pPr>
    </w:p>
    <w:p w:rsidR="00000000" w:rsidRPr="00EC2FFC" w:rsidP="00EC2FFC">
      <w:pPr>
        <w:pStyle w:val="AllowPageBreak"/>
      </w:pPr>
    </w:p>
    <w:p w:rsidR="00000000" w:rsidRPr="00EC2FFC" w:rsidP="00EC2FFC">
      <w:pPr>
        <w:pStyle w:val="Heading1"/>
      </w:pPr>
      <w:bookmarkStart w:id="7" w:name="O_622060"/>
      <w:bookmarkEnd w:id="7"/>
      <w:r w:rsidRPr="00EC2FFC">
        <w:t>Foundation Skills</w:t>
      </w:r>
    </w:p>
    <w:p w:rsidR="00000000" w:rsidRPr="00EC2FFC" w:rsidP="00CF0D71">
      <w:pPr>
        <w:pStyle w:val="BodyText"/>
      </w:pPr>
      <w:r w:rsidRPr="00EC2FFC">
        <w:t>Foundation skills essential to perfor</w:t>
      </w:r>
      <w:r w:rsidRPr="00EC2FFC">
        <w:t>mance are explicit in the performance criteria of this unit of competency. Detail on appropriate performance levels for each furnishing unit of competency in reading, writing, oral communication and numeracy utilising the Australian Core Skills Framework (</w:t>
      </w:r>
      <w:r w:rsidRPr="00EC2FFC">
        <w:t>ACSF) are provided in the Furnishing Training Package Implementation Guide.</w:t>
      </w:r>
    </w:p>
    <w:p w:rsidR="00000000" w:rsidRPr="00EC2FFC" w:rsidP="00EC2FFC">
      <w:pPr>
        <w:pStyle w:val="Heading1"/>
      </w:pPr>
      <w:bookmarkStart w:id="8" w:name="O_622059"/>
      <w:bookmarkEnd w:id="8"/>
      <w:r w:rsidRPr="00EC2FFC">
        <w:t>Range of Conditions</w:t>
      </w:r>
    </w:p>
    <w:tbl>
      <w:tblPr>
        <w:tblW w:w="0" w:type="auto"/>
        <w:tblLayout w:type="fixed"/>
        <w:tblCellMar>
          <w:left w:w="62" w:type="dxa"/>
          <w:right w:w="62" w:type="dxa"/>
        </w:tblCellMar>
        <w:tblLook w:val="0000"/>
      </w:tblPr>
      <w:tblGrid>
        <w:gridCol w:w="2760"/>
        <w:gridCol w:w="6312"/>
      </w:tblGrid>
      <w:tr w:rsidTr="00EC2FF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C2FFC">
            <w:pPr>
              <w:pStyle w:val="BodyText"/>
              <w:rPr>
                <w:lang w:val="en-NZ"/>
              </w:rPr>
            </w:pPr>
            <w:r w:rsidRPr="00EC2FFC">
              <w:t>Specifies different work environments and conditions that may affect performance. Essential operating conditions that may be present (depending</w:t>
            </w:r>
            <w:r w:rsidRPr="00EC2FFC">
              <w:t xml:space="preserve"> on the work situation, needs of the candidate, accessibility of the item, and local industry and regional contexts) are included. Range is restricted to essential operating conditions and any other variables essential to the work environment.</w:t>
            </w:r>
          </w:p>
        </w:tc>
      </w:tr>
      <w:tr w:rsidTr="00EC2FF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C2FFC">
            <w:pPr>
              <w:pStyle w:val="BodyText"/>
              <w:rPr>
                <w:lang w:val="en-NZ"/>
              </w:rPr>
            </w:pPr>
            <w:r w:rsidRPr="00EC2FFC">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EC2FFC" w:rsidP="00EC2FFC">
            <w:pPr>
              <w:pStyle w:val="ListBullet"/>
            </w:pPr>
            <w:r w:rsidRPr="00EC2FFC">
              <w:t xml:space="preserve">WHS requirements, including legislation, building codes, material safety management systems, hazardous and dangerous goods codes, and local safe operating procedures or equivalent </w:t>
            </w:r>
          </w:p>
          <w:p w:rsidR="00000000" w:rsidRPr="00EC2FFC" w:rsidP="00EC2FFC">
            <w:pPr>
              <w:pStyle w:val="ListBullet"/>
            </w:pPr>
            <w:r w:rsidRPr="00EC2FFC">
              <w:t xml:space="preserve">work is carried out in accordance with legislative </w:t>
            </w:r>
            <w:r w:rsidRPr="00EC2FFC">
              <w:t>obligations, environmental legislation, relevant health regulations, manual handling procedures and organisation insurance requirements</w:t>
            </w:r>
          </w:p>
          <w:p w:rsidR="00000000" w:rsidP="00EC2FFC">
            <w:pPr>
              <w:pStyle w:val="ListBullet"/>
              <w:rPr>
                <w:lang w:val="en-NZ"/>
              </w:rPr>
            </w:pPr>
            <w:r w:rsidRPr="00EC2FFC">
              <w:t xml:space="preserve">work requires individuals to demonstrate some discretion, judgement and problem solving </w:t>
            </w:r>
          </w:p>
        </w:tc>
      </w:tr>
      <w:tr w:rsidTr="00EC2FF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C2FFC" w:rsidP="00EC2FFC">
            <w:pPr>
              <w:pStyle w:val="BodyText"/>
            </w:pPr>
            <w:r w:rsidRPr="00EC2FFC">
              <w:rPr>
                <w:rStyle w:val="SpecialBold"/>
              </w:rPr>
              <w:t>Window finishings include:</w:t>
            </w:r>
          </w:p>
          <w:p w:rsidR="00000000" w:rsidP="00EC2FF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C2FFC" w:rsidP="00EC2FFC">
            <w:pPr>
              <w:pStyle w:val="ListBullet"/>
            </w:pPr>
            <w:r w:rsidRPr="00EC2FFC">
              <w:t>c</w:t>
            </w:r>
            <w:r w:rsidRPr="00EC2FFC">
              <w:t>urtains</w:t>
            </w:r>
          </w:p>
          <w:p w:rsidR="00000000" w:rsidRPr="00EC2FFC" w:rsidP="00EC2FFC">
            <w:pPr>
              <w:pStyle w:val="ListBullet"/>
            </w:pPr>
            <w:r w:rsidRPr="00EC2FFC">
              <w:t>sheers</w:t>
            </w:r>
          </w:p>
          <w:p w:rsidR="00000000" w:rsidRPr="00EC2FFC" w:rsidP="00EC2FFC">
            <w:pPr>
              <w:pStyle w:val="ListBullet"/>
            </w:pPr>
            <w:r w:rsidRPr="00EC2FFC">
              <w:t>swags</w:t>
            </w:r>
          </w:p>
          <w:p w:rsidR="00000000" w:rsidRPr="00EC2FFC" w:rsidP="00EC2FFC">
            <w:pPr>
              <w:pStyle w:val="ListBullet"/>
            </w:pPr>
            <w:r w:rsidRPr="00EC2FFC">
              <w:t>pelmets</w:t>
            </w:r>
          </w:p>
          <w:p w:rsidR="00000000" w:rsidRPr="00EC2FFC" w:rsidP="00EC2FFC">
            <w:pPr>
              <w:pStyle w:val="ListBullet"/>
            </w:pPr>
            <w:r w:rsidRPr="00EC2FFC">
              <w:t>valances</w:t>
            </w:r>
          </w:p>
          <w:p w:rsidR="00000000" w:rsidP="00EC2FFC">
            <w:pPr>
              <w:pStyle w:val="ListBullet"/>
              <w:rPr>
                <w:lang w:val="en-NZ"/>
              </w:rPr>
            </w:pPr>
            <w:r w:rsidRPr="00EC2FFC">
              <w:t>tie-backs and hold-backs</w:t>
            </w:r>
          </w:p>
        </w:tc>
      </w:tr>
      <w:tr w:rsidTr="00EC2FF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C2FFC" w:rsidP="00EC2FFC">
            <w:pPr>
              <w:pStyle w:val="BodyText"/>
            </w:pPr>
            <w:r w:rsidRPr="00EC2FFC">
              <w:rPr>
                <w:rStyle w:val="SpecialBold"/>
              </w:rPr>
              <w:t>Tools and equipment include:</w:t>
            </w:r>
          </w:p>
          <w:p w:rsidR="00000000" w:rsidP="00EC2FF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C2FFC" w:rsidP="00EC2FFC">
            <w:pPr>
              <w:pStyle w:val="ListBullet"/>
            </w:pPr>
            <w:r w:rsidRPr="00EC2FFC">
              <w:t>hand or power operated tools</w:t>
            </w:r>
          </w:p>
          <w:p w:rsidR="00000000" w:rsidRPr="00EC2FFC" w:rsidP="00EC2FFC">
            <w:pPr>
              <w:pStyle w:val="ListBullet"/>
            </w:pPr>
            <w:r w:rsidRPr="00EC2FFC">
              <w:t>drills</w:t>
            </w:r>
          </w:p>
          <w:p w:rsidR="00000000" w:rsidRPr="00EC2FFC" w:rsidP="00EC2FFC">
            <w:pPr>
              <w:pStyle w:val="ListBullet"/>
            </w:pPr>
            <w:r w:rsidRPr="00EC2FFC">
              <w:t>hammers</w:t>
            </w:r>
          </w:p>
          <w:p w:rsidR="00000000" w:rsidP="00EC2FFC">
            <w:pPr>
              <w:pStyle w:val="ListBullet"/>
              <w:rPr>
                <w:lang w:val="en-NZ"/>
              </w:rPr>
            </w:pPr>
            <w:r w:rsidRPr="00EC2FFC">
              <w:t>screwdrivers</w:t>
            </w:r>
          </w:p>
        </w:tc>
      </w:tr>
      <w:tr w:rsidTr="00EC2FF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C2FFC">
            <w:pPr>
              <w:pStyle w:val="BodyText"/>
              <w:rPr>
                <w:lang w:val="en-NZ"/>
              </w:rPr>
            </w:pPr>
            <w:r w:rsidRPr="00EC2FFC">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EC2FFC">
            <w:pPr>
              <w:pStyle w:val="ListBullet"/>
              <w:rPr>
                <w:lang w:val="en-NZ"/>
              </w:rPr>
            </w:pPr>
            <w:r w:rsidRPr="00EC2FFC">
              <w:t xml:space="preserve">that prescribed under legislation, regulations and enterprise policies and practices </w:t>
            </w:r>
          </w:p>
        </w:tc>
      </w:tr>
      <w:tr w:rsidTr="00EC2FF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C2FFC">
            <w:pPr>
              <w:pStyle w:val="BodyText"/>
              <w:rPr>
                <w:lang w:val="en-NZ"/>
              </w:rPr>
            </w:pPr>
            <w:r w:rsidRPr="00EC2FFC">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EC2FFC" w:rsidP="00EC2FFC">
            <w:pPr>
              <w:pStyle w:val="ListBullet"/>
            </w:pPr>
            <w:r w:rsidRPr="00EC2FFC">
              <w:t xml:space="preserve">workplace procedures relating to the use of tools and equipment </w:t>
            </w:r>
          </w:p>
          <w:p w:rsidR="00000000" w:rsidRPr="00EC2FFC" w:rsidP="00EC2FFC">
            <w:pPr>
              <w:pStyle w:val="ListBullet"/>
            </w:pPr>
            <w:r w:rsidRPr="00EC2FFC">
              <w:t>work instructions, including job sheets, cutting lists, plans, draw</w:t>
            </w:r>
            <w:r w:rsidRPr="00EC2FFC">
              <w:t xml:space="preserve">ings and designs </w:t>
            </w:r>
          </w:p>
          <w:p w:rsidR="00000000" w:rsidRPr="00EC2FFC" w:rsidP="00EC2FFC">
            <w:pPr>
              <w:pStyle w:val="ListBullet"/>
            </w:pPr>
            <w:r w:rsidRPr="00EC2FFC">
              <w:t xml:space="preserve">workplace procedures relating to reporting and communication </w:t>
            </w:r>
          </w:p>
          <w:p w:rsidR="00000000" w:rsidRPr="00EC2FFC" w:rsidP="00EC2FFC">
            <w:pPr>
              <w:pStyle w:val="ListBullet"/>
            </w:pPr>
            <w:r w:rsidRPr="00EC2FFC">
              <w:t>manufacturer specifications and operational procedures</w:t>
            </w:r>
          </w:p>
        </w:tc>
      </w:tr>
    </w:tbl>
    <w:p w:rsidR="00000000" w:rsidRPr="00EC2FFC" w:rsidP="00EC2FFC">
      <w:pPr>
        <w:pStyle w:val="BodyText"/>
      </w:pPr>
    </w:p>
    <w:p w:rsidR="00000000" w:rsidRPr="00EC2FFC" w:rsidP="00EC2FFC">
      <w:pPr>
        <w:pStyle w:val="AllowPageBreak"/>
      </w:pPr>
    </w:p>
    <w:p w:rsidR="00000000" w:rsidRPr="00EC2FFC" w:rsidP="00EC2FFC">
      <w:pPr>
        <w:pStyle w:val="Heading1"/>
      </w:pPr>
      <w:bookmarkStart w:id="9" w:name="O_622058"/>
      <w:bookmarkEnd w:id="9"/>
      <w:r w:rsidRPr="00EC2FFC">
        <w:t>Unit Mapping Information</w:t>
      </w:r>
    </w:p>
    <w:p w:rsidR="00000000" w:rsidRPr="00EC2FFC" w:rsidP="00CF0D71">
      <w:pPr>
        <w:pStyle w:val="BodyText"/>
      </w:pPr>
      <w:r w:rsidRPr="00EC2FFC">
        <w:t>Supersedes and is equivalent to LMFSF2013B Dress windows.</w:t>
      </w:r>
    </w:p>
    <w:p w:rsidR="00000000" w:rsidRPr="00EC2FFC" w:rsidP="00EC2FFC">
      <w:pPr>
        <w:pStyle w:val="Heading1"/>
      </w:pPr>
      <w:bookmarkStart w:id="10" w:name="O_622051"/>
      <w:bookmarkEnd w:id="10"/>
      <w:r w:rsidRPr="00EC2FFC">
        <w:t>Links</w:t>
      </w:r>
    </w:p>
    <w:p w:rsidR="00000000" w:rsidRPr="00EC2FFC" w:rsidP="00CF0D71">
      <w:pPr>
        <w:pStyle w:val="BodyText"/>
      </w:pPr>
      <w:r w:rsidRPr="00EC2FF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2685D">
        <w:rPr>
          <w:rStyle w:val="Hyperlink"/>
        </w:rPr>
        <w:t>https://vetnet.gov.au/Pages/TrainingDocs.aspx?q=0601ab95-583a-4e93-b2d4-cfb27b03ed73</w:t>
      </w:r>
      <w:r>
        <w:fldChar w:fldCharType="end"/>
      </w:r>
    </w:p>
    <w:p w:rsidR="00000000" w:rsidRPr="00EC2FFC" w:rsidP="00CF0D71">
      <w:pPr>
        <w:pStyle w:val="BodyText"/>
        <w:sectPr w:rsidSect="00EC2FFC">
          <w:headerReference w:type="default" r:id="rId10"/>
          <w:footerReference w:type="default" r:id="rId11"/>
          <w:pgSz w:w="11908" w:h="16833"/>
          <w:pgMar w:top="1702" w:right="1418" w:bottom="1702" w:left="1418" w:header="992" w:footer="992" w:gutter="0"/>
          <w:cols w:space="720"/>
          <w:noEndnote/>
          <w:docGrid w:linePitch="299"/>
        </w:sectPr>
      </w:pPr>
    </w:p>
    <w:p w:rsidR="00000000" w:rsidRPr="00EC2FFC" w:rsidP="00EC2FFC">
      <w:pPr>
        <w:pStyle w:val="SuperHeading"/>
      </w:pPr>
      <w:r w:rsidRPr="00EC2FFC">
        <w:t>Assessment Requirements for MSFSF2013 Dress windows</w:t>
      </w:r>
    </w:p>
    <w:p w:rsidR="00000000" w:rsidRPr="00EC2FFC" w:rsidP="00EC2FFC">
      <w:pPr>
        <w:pStyle w:val="Heading1"/>
      </w:pPr>
      <w:bookmarkStart w:id="11" w:name="O_622053"/>
      <w:bookmarkEnd w:id="11"/>
      <w:r w:rsidRPr="00EC2FFC">
        <w:t>Modification History</w:t>
      </w:r>
    </w:p>
    <w:p w:rsidR="00000000" w:rsidRPr="00EC2FFC" w:rsidP="00CF0D71">
      <w:pPr>
        <w:pStyle w:val="BodyText"/>
      </w:pPr>
      <w:r w:rsidRPr="00EC2FFC">
        <w:t>Release 1 - New unit of competency</w:t>
      </w:r>
    </w:p>
    <w:p w:rsidR="00000000" w:rsidRPr="00EC2FFC" w:rsidP="00EC2FFC">
      <w:pPr>
        <w:pStyle w:val="Heading1"/>
      </w:pPr>
      <w:bookmarkStart w:id="12" w:name="O_622056"/>
      <w:bookmarkEnd w:id="12"/>
      <w:r w:rsidRPr="00EC2FFC">
        <w:t>Performance Evidence</w:t>
      </w:r>
    </w:p>
    <w:p w:rsidR="00000000" w:rsidRPr="00EC2FFC" w:rsidP="00EC2FFC">
      <w:pPr>
        <w:pStyle w:val="ListBullet"/>
      </w:pPr>
      <w:r w:rsidRPr="00EC2FFC">
        <w:t xml:space="preserve">Interpret work order and locate and apply relevant information </w:t>
      </w:r>
    </w:p>
    <w:p w:rsidR="00000000" w:rsidRPr="00EC2FFC" w:rsidP="00EC2FFC">
      <w:pPr>
        <w:pStyle w:val="ListBullet"/>
      </w:pPr>
      <w:r w:rsidRPr="00EC2FFC">
        <w:t xml:space="preserve">Apply safe handling requirements for equipment, products and materials, including use of personal protective equipment </w:t>
      </w:r>
    </w:p>
    <w:p w:rsidR="00000000" w:rsidRPr="00EC2FFC" w:rsidP="00EC2FFC">
      <w:pPr>
        <w:pStyle w:val="ListBullet"/>
      </w:pPr>
      <w:r w:rsidRPr="00EC2FFC">
        <w:t xml:space="preserve">Identify materials used in the work process </w:t>
      </w:r>
    </w:p>
    <w:p w:rsidR="00000000" w:rsidRPr="00EC2FFC" w:rsidP="00EC2FFC">
      <w:pPr>
        <w:pStyle w:val="ListBullet"/>
      </w:pPr>
      <w:r w:rsidRPr="00EC2FFC">
        <w:t xml:space="preserve">Follow work instructions, operating procedures and inspection processes to: </w:t>
      </w:r>
    </w:p>
    <w:p w:rsidR="00000000" w:rsidRPr="00EC2FFC" w:rsidP="00EC2FFC">
      <w:pPr>
        <w:pStyle w:val="ListBullet2"/>
      </w:pPr>
      <w:r w:rsidRPr="00EC2FFC">
        <w:t xml:space="preserve">minimise the </w:t>
      </w:r>
      <w:r w:rsidRPr="00EC2FFC">
        <w:t xml:space="preserve">risk of injury to self or others </w:t>
      </w:r>
    </w:p>
    <w:p w:rsidR="00000000" w:rsidRPr="00EC2FFC" w:rsidP="00EC2FFC">
      <w:pPr>
        <w:pStyle w:val="ListBullet2"/>
      </w:pPr>
      <w:r w:rsidRPr="00EC2FFC">
        <w:t xml:space="preserve">prevent damage to goods, equipment and products </w:t>
      </w:r>
    </w:p>
    <w:p w:rsidR="00000000" w:rsidRPr="00EC2FFC" w:rsidP="00EC2FFC">
      <w:pPr>
        <w:pStyle w:val="ListBullet2"/>
      </w:pPr>
      <w:r w:rsidRPr="00EC2FFC">
        <w:t xml:space="preserve">maintain required production output and product quality </w:t>
      </w:r>
    </w:p>
    <w:p w:rsidR="00000000" w:rsidRPr="00EC2FFC" w:rsidP="00EC2FFC">
      <w:pPr>
        <w:pStyle w:val="ListBullet"/>
      </w:pPr>
      <w:r w:rsidRPr="00EC2FFC">
        <w:t xml:space="preserve">Install at least four (4) different types of window dressings, which must include curtains and tie-backs </w:t>
      </w:r>
    </w:p>
    <w:p w:rsidR="00000000" w:rsidRPr="00EC2FFC" w:rsidP="00EC2FFC">
      <w:pPr>
        <w:pStyle w:val="ListBullet"/>
      </w:pPr>
      <w:r w:rsidRPr="00EC2FFC">
        <w:t xml:space="preserve">Use mathematical ideas and techniques to correctly complete measurements, calculate area and estimate material requirements </w:t>
      </w:r>
    </w:p>
    <w:p w:rsidR="00000000" w:rsidRPr="00EC2FFC" w:rsidP="00EC2FFC">
      <w:pPr>
        <w:pStyle w:val="ListBullet"/>
      </w:pPr>
      <w:r w:rsidRPr="00EC2FFC">
        <w:t>Communicate ideas and information to enable confirmation of work requirements and specifications and the reporting of work outcomes</w:t>
      </w:r>
      <w:r w:rsidRPr="00EC2FFC">
        <w:t xml:space="preserve"> and problems, interpret basic plans and follow safety procedures </w:t>
      </w:r>
    </w:p>
    <w:p w:rsidR="00000000" w:rsidRPr="00EC2FFC" w:rsidP="00EC2FFC">
      <w:pPr>
        <w:pStyle w:val="ListBullet"/>
      </w:pPr>
      <w:r w:rsidRPr="00EC2FFC">
        <w:t>Avoid backtracking, work flow interruptions or wastage</w:t>
      </w:r>
    </w:p>
    <w:p w:rsidR="00000000" w:rsidRPr="00EC2FFC" w:rsidP="00EC2FFC">
      <w:pPr>
        <w:pStyle w:val="ListBullet"/>
      </w:pPr>
      <w:r w:rsidRPr="00EC2FFC">
        <w:t>Work with others and in a team by recognising dependencies and using cooperative approaches to optimise work flow and productivity</w:t>
      </w:r>
    </w:p>
    <w:p w:rsidR="00000000" w:rsidRPr="00EC2FFC" w:rsidP="00EC2FFC">
      <w:pPr>
        <w:pStyle w:val="AllowPageBreak"/>
      </w:pPr>
    </w:p>
    <w:p w:rsidR="00000000" w:rsidRPr="00EC2FFC" w:rsidP="00EC2FFC">
      <w:pPr>
        <w:pStyle w:val="Heading1"/>
      </w:pPr>
      <w:bookmarkStart w:id="13" w:name="O_622055"/>
      <w:bookmarkEnd w:id="13"/>
      <w:r w:rsidRPr="00EC2FFC">
        <w:t>Knowledge Evidence</w:t>
      </w:r>
    </w:p>
    <w:p w:rsidR="00000000" w:rsidRPr="00EC2FFC" w:rsidP="00EC2FFC">
      <w:pPr>
        <w:pStyle w:val="ListBullet"/>
      </w:pPr>
      <w:r w:rsidRPr="00EC2FFC">
        <w:t xml:space="preserve">Window dressing and fitting materials and techniques </w:t>
      </w:r>
    </w:p>
    <w:p w:rsidR="00000000" w:rsidRPr="00EC2FFC" w:rsidP="00EC2FFC">
      <w:pPr>
        <w:pStyle w:val="ListBullet"/>
      </w:pPr>
      <w:r w:rsidRPr="00EC2FFC">
        <w:t xml:space="preserve">Identification of equipment, processes and procedures </w:t>
      </w:r>
    </w:p>
    <w:p w:rsidR="00000000" w:rsidRPr="00EC2FFC" w:rsidP="00EC2FFC">
      <w:pPr>
        <w:pStyle w:val="ListBullet"/>
      </w:pPr>
      <w:r w:rsidRPr="00EC2FFC">
        <w:t>Work flow in relation to fitting curtains, valances, swags and other window treatments</w:t>
      </w:r>
    </w:p>
    <w:p w:rsidR="00000000" w:rsidRPr="00EC2FFC" w:rsidP="00EC2FFC">
      <w:pPr>
        <w:pStyle w:val="AllowPageBreak"/>
      </w:pPr>
    </w:p>
    <w:p w:rsidR="00000000" w:rsidRPr="00EC2FFC" w:rsidP="00EC2FFC">
      <w:pPr>
        <w:pStyle w:val="Heading1"/>
      </w:pPr>
      <w:bookmarkStart w:id="14" w:name="O_622054"/>
      <w:bookmarkEnd w:id="14"/>
      <w:r w:rsidRPr="00EC2FFC">
        <w:t>Assessment Conditions</w:t>
      </w:r>
    </w:p>
    <w:p w:rsidR="00000000" w:rsidRPr="00EC2FFC" w:rsidP="00EC2FFC">
      <w:pPr>
        <w:pStyle w:val="ListBullet"/>
      </w:pPr>
      <w:r w:rsidRPr="00EC2FFC">
        <w:t>Assessors must:</w:t>
      </w:r>
    </w:p>
    <w:p w:rsidR="00000000" w:rsidRPr="00EC2FFC" w:rsidP="00EC2FFC">
      <w:pPr>
        <w:pStyle w:val="ListBullet2"/>
      </w:pPr>
      <w:r w:rsidRPr="00EC2FFC">
        <w:t>hold training and assessment competencies as determined by the National Skills Standards Council (NSSC) or its successors</w:t>
      </w:r>
    </w:p>
    <w:p w:rsidR="00000000" w:rsidRPr="00EC2FFC" w:rsidP="00EC2FFC">
      <w:pPr>
        <w:pStyle w:val="ListBullet2"/>
      </w:pPr>
      <w:r w:rsidRPr="00EC2FFC">
        <w:t>have vocational competency in the furnishing industry at least to the level being assessed wit</w:t>
      </w:r>
      <w:r w:rsidRPr="00EC2FFC">
        <w:t xml:space="preserve">h broad industry knowledge and experience, usually combined with a relevant industry qualification </w:t>
      </w:r>
    </w:p>
    <w:p w:rsidR="00000000" w:rsidRPr="00EC2FFC" w:rsidP="00EC2FFC">
      <w:pPr>
        <w:pStyle w:val="ListBullet2"/>
      </w:pPr>
      <w:r w:rsidRPr="00EC2FFC">
        <w:t>be familiar with the current skills and knowledge used and have relevant, current experience in the furnishing industry.</w:t>
      </w:r>
    </w:p>
    <w:p w:rsidR="00000000" w:rsidRPr="00EC2FFC" w:rsidP="00EC2FFC">
      <w:pPr>
        <w:pStyle w:val="ListBullet"/>
      </w:pPr>
      <w:r w:rsidRPr="00EC2FFC">
        <w:t>Assessment methods must confirm co</w:t>
      </w:r>
      <w:r w:rsidRPr="00EC2FFC">
        <w:t xml:space="preserve">nsistency of performance over time rather than a single assessment event and in a range of workplace relevant contexts. </w:t>
      </w:r>
    </w:p>
    <w:p w:rsidR="00000000" w:rsidRPr="00EC2FFC" w:rsidP="00EC2FFC">
      <w:pPr>
        <w:pStyle w:val="ListBullet"/>
      </w:pPr>
      <w:r w:rsidRPr="00EC2FFC">
        <w:t>Assessment must be by observation of relevant tasks with questioning on underpinning knowledge and, where applicable, multimedia eviden</w:t>
      </w:r>
      <w:r w:rsidRPr="00EC2FFC">
        <w:t xml:space="preserve">ce, supervisor’s reports, projects and work samples. </w:t>
      </w:r>
    </w:p>
    <w:p w:rsidR="00000000" w:rsidRPr="00EC2FFC" w:rsidP="00EC2FFC">
      <w:pPr>
        <w:pStyle w:val="ListBullet"/>
      </w:pPr>
      <w:r w:rsidRPr="00EC2FFC">
        <w:t>Assessment is to be conducted on single units of competency or in conjunction with other related units of competency. Foundation skills are integral to competent performance in the unit and should not b</w:t>
      </w:r>
      <w:r w:rsidRPr="00EC2FFC">
        <w:t>e assessed separately.</w:t>
      </w:r>
    </w:p>
    <w:p w:rsidR="00000000" w:rsidRPr="00EC2FFC" w:rsidP="00EC2FFC">
      <w:pPr>
        <w:pStyle w:val="ListBullet"/>
      </w:pPr>
      <w:r w:rsidRPr="00EC2FFC">
        <w:t>Assessment must occur on the job or in a workplace simulated facility with relevant process, equipment, materials, work instructions and deadlines.</w:t>
      </w:r>
    </w:p>
    <w:p w:rsidR="00000000" w:rsidRPr="00EC2FFC" w:rsidP="00EC2FFC">
      <w:pPr>
        <w:pStyle w:val="ListBullet"/>
      </w:pPr>
      <w:r w:rsidRPr="00EC2FFC">
        <w:t>Access is required to curtains, tracks, decorative window finishings, appropriate qua</w:t>
      </w:r>
      <w:r w:rsidRPr="00EC2FFC">
        <w:t>lity specifications and instructions.</w:t>
      </w:r>
    </w:p>
    <w:p w:rsidR="00000000" w:rsidRPr="00EC2FFC" w:rsidP="00EC2FFC">
      <w:pPr>
        <w:pStyle w:val="AllowPageBreak"/>
      </w:pPr>
    </w:p>
    <w:p w:rsidR="00000000" w:rsidRPr="00EC2FFC" w:rsidP="00EC2FFC">
      <w:pPr>
        <w:pStyle w:val="Heading1"/>
      </w:pPr>
      <w:bookmarkStart w:id="15" w:name="O_622052"/>
      <w:bookmarkEnd w:id="15"/>
      <w:r w:rsidRPr="00EC2FFC">
        <w:t>Links</w:t>
      </w:r>
    </w:p>
    <w:p w:rsidR="00000000" w:rsidRPr="00EC2FFC" w:rsidP="00CF0D71">
      <w:pPr>
        <w:pStyle w:val="BodyText"/>
      </w:pPr>
      <w:r w:rsidRPr="00EC2FF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2685D">
        <w:rPr>
          <w:rStyle w:val="Hyperlink"/>
        </w:rPr>
        <w:t>https://vetnet.gov.au/Pages/TrainingDocs.aspx?q=0601ab95-583a-4e93-b2d4-cfb27b03ed73</w:t>
      </w:r>
      <w:r>
        <w:fldChar w:fldCharType="end"/>
      </w:r>
    </w:p>
    <w:p w:rsidR="00000000" w:rsidRPr="00EC2FFC" w:rsidP="00EC2FFC"/>
    <w:sectPr w:rsidSect="00EC2FF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F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FFC" w:rsidRPr="00CF0D71" w:rsidP="00CF0D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F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D71" w:rsidP="00EC2F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F0D71" w:rsidP="00EC2FF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F0D71" w:rsidP="00EC2FF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FFC" w:rsidP="00EC2FFC">
    <w:pPr>
      <w:pStyle w:val="Footer"/>
      <w:framePr w:wrap="around"/>
    </w:pPr>
    <w:r>
      <w:fldChar w:fldCharType="begin"/>
    </w:r>
    <w:r>
      <w:instrText xml:space="preserve"> DOCPROPERTY  Subject  \* MERGEFORMAT </w:instrText>
    </w:r>
    <w:r>
      <w:fldChar w:fldCharType="separate"/>
    </w:r>
    <w:r w:rsidR="00CF0D71">
      <w:t>Approved</w:t>
    </w:r>
    <w:r w:rsidR="00CF0D71">
      <w:fldChar w:fldCharType="end"/>
    </w:r>
    <w:r>
      <w:tab/>
      <w:t xml:space="preserve">Page </w:t>
    </w:r>
    <w:r>
      <w:fldChar w:fldCharType="begin"/>
    </w:r>
    <w:r>
      <w:instrText xml:space="preserve"> PAGE  \* Arabic  \* MERGEFORMAT </w:instrText>
    </w:r>
    <w:r>
      <w:fldChar w:fldCharType="separate"/>
    </w:r>
    <w:r w:rsidR="00CF0D7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F0D71">
      <w:rPr>
        <w:noProof/>
      </w:rPr>
      <w:t>5</w:t>
    </w:r>
    <w:r>
      <w:rPr>
        <w:noProof/>
      </w:rPr>
      <w:fldChar w:fldCharType="end"/>
    </w:r>
  </w:p>
  <w:p w:rsidR="00EC2FFC" w:rsidP="00EC2FFC">
    <w:pPr>
      <w:pStyle w:val="Footer"/>
      <w:framePr w:wrap="around"/>
    </w:pPr>
    <w:r>
      <w:t xml:space="preserve">© Commonwealth of Australia, </w:t>
    </w:r>
    <w:r>
      <w:fldChar w:fldCharType="begin"/>
    </w:r>
    <w:r>
      <w:instrText xml:space="preserve"> DATE  \@ "yyyy"  \* MERGEFORMAT </w:instrText>
    </w:r>
    <w:r>
      <w:fldChar w:fldCharType="separate"/>
    </w:r>
    <w:r w:rsidR="00CF0D71">
      <w:rPr>
        <w:noProof/>
      </w:rPr>
      <w:t>2025</w:t>
    </w:r>
    <w:r>
      <w:fldChar w:fldCharType="end"/>
    </w:r>
    <w:r>
      <w:tab/>
    </w:r>
    <w:r>
      <w:fldChar w:fldCharType="begin"/>
    </w:r>
    <w:r>
      <w:instrText xml:space="preserve"> DOCPROPERTY  Author  \* MERGEFORMAT </w:instrText>
    </w:r>
    <w:r>
      <w:fldChar w:fldCharType="separate"/>
    </w:r>
    <w:r w:rsidR="00CF0D71">
      <w:t>Skills Insight</w:t>
    </w:r>
    <w:r w:rsidR="00CF0D71">
      <w:fldChar w:fldCharType="end"/>
    </w:r>
  </w:p>
  <w:p w:rsidR="00EC2FFC" w:rsidP="00EC2F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F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D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2FFC" w:rsidRPr="00CF0D71" w:rsidP="00CF0D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F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D71" w:rsidRPr="002D2AF8" w:rsidP="00EC2FFC">
    <w:pPr>
      <w:pStyle w:val="Header"/>
      <w:framePr w:wrap="around"/>
    </w:pPr>
    <w:r>
      <w:fldChar w:fldCharType="begin"/>
    </w:r>
    <w:r>
      <w:instrText xml:space="preserve"> TITLE   \* MERGEFORMAT </w:instrText>
    </w:r>
    <w:r>
      <w:fldChar w:fldCharType="separate"/>
    </w:r>
    <w:r>
      <w:t>MSFSF2013 Dress windows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F0D71" w:rsidP="00EC2FF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FFC" w:rsidRPr="002D2AF8" w:rsidP="00EC2FFC">
    <w:pPr>
      <w:pStyle w:val="Header"/>
      <w:framePr w:wrap="around"/>
    </w:pPr>
    <w:r>
      <w:fldChar w:fldCharType="begin"/>
    </w:r>
    <w:r>
      <w:instrText xml:space="preserve"> TITLE   \* MERGEFORMAT </w:instrText>
    </w:r>
    <w:r>
      <w:fldChar w:fldCharType="separate"/>
    </w:r>
    <w:r w:rsidR="00CF0D71">
      <w:t>MSFSF2013 Dress windows</w:t>
    </w:r>
    <w:r w:rsidR="00CF0D71">
      <w:fldChar w:fldCharType="end"/>
    </w:r>
    <w:r>
      <w:tab/>
      <w:t xml:space="preserve">Date this document was generated: </w:t>
    </w:r>
    <w:r>
      <w:fldChar w:fldCharType="begin"/>
    </w:r>
    <w:r>
      <w:instrText xml:space="preserve"> CREATEDATE  \@ "d MMMM yyyy"  \* MERGEFORMAT </w:instrText>
    </w:r>
    <w:r>
      <w:fldChar w:fldCharType="separate"/>
    </w:r>
    <w:r w:rsidR="00CF0D71">
      <w:rPr>
        <w:noProof/>
      </w:rPr>
      <w:t>2 March 2025</w:t>
    </w:r>
    <w:r>
      <w:fldChar w:fldCharType="end"/>
    </w:r>
  </w:p>
  <w:p w:rsidR="00EC2FFC" w:rsidP="00EC2F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B27D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C297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1278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F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2FFC"/>
    <w:pPr>
      <w:spacing w:before="360" w:after="60"/>
      <w:outlineLvl w:val="0"/>
    </w:pPr>
    <w:rPr>
      <w:sz w:val="32"/>
    </w:rPr>
  </w:style>
  <w:style w:type="paragraph" w:styleId="Heading2">
    <w:name w:val="heading 2"/>
    <w:basedOn w:val="HeadingBase"/>
    <w:next w:val="BodyText"/>
    <w:link w:val="Heading2Char"/>
    <w:qFormat/>
    <w:rsid w:val="00EC2FFC"/>
    <w:pPr>
      <w:keepLines/>
      <w:spacing w:before="240" w:after="120"/>
      <w:outlineLvl w:val="1"/>
    </w:pPr>
    <w:rPr>
      <w:sz w:val="28"/>
      <w:szCs w:val="40"/>
    </w:rPr>
  </w:style>
  <w:style w:type="paragraph" w:styleId="Heading3">
    <w:name w:val="heading 3"/>
    <w:basedOn w:val="HeadingBase"/>
    <w:next w:val="BodyText"/>
    <w:link w:val="Heading3Char"/>
    <w:qFormat/>
    <w:rsid w:val="00EC2FFC"/>
    <w:pPr>
      <w:spacing w:before="180" w:after="120"/>
      <w:outlineLvl w:val="2"/>
    </w:pPr>
    <w:rPr>
      <w:spacing w:val="-10"/>
      <w:kern w:val="32"/>
    </w:rPr>
  </w:style>
  <w:style w:type="paragraph" w:styleId="Heading4">
    <w:name w:val="heading 4"/>
    <w:basedOn w:val="HeadingBase"/>
    <w:next w:val="BodyText"/>
    <w:link w:val="Heading4Char"/>
    <w:qFormat/>
    <w:rsid w:val="00EC2FFC"/>
    <w:pPr>
      <w:spacing w:before="160" w:after="120"/>
      <w:outlineLvl w:val="3"/>
    </w:pPr>
    <w:rPr>
      <w:sz w:val="22"/>
    </w:rPr>
  </w:style>
  <w:style w:type="paragraph" w:styleId="Heading5">
    <w:name w:val="heading 5"/>
    <w:basedOn w:val="HeadingBase"/>
    <w:next w:val="Normal"/>
    <w:link w:val="Heading5Char"/>
    <w:qFormat/>
    <w:rsid w:val="00EC2FFC"/>
    <w:pPr>
      <w:spacing w:before="80"/>
      <w:outlineLvl w:val="4"/>
    </w:pPr>
    <w:rPr>
      <w:color w:val="918585"/>
      <w:sz w:val="20"/>
    </w:rPr>
  </w:style>
  <w:style w:type="paragraph" w:styleId="Heading6">
    <w:name w:val="heading 6"/>
    <w:basedOn w:val="HeadingBase"/>
    <w:next w:val="Normal"/>
    <w:link w:val="Heading6Char"/>
    <w:qFormat/>
    <w:rsid w:val="00EC2FFC"/>
    <w:pPr>
      <w:spacing w:before="60"/>
      <w:outlineLvl w:val="5"/>
    </w:pPr>
    <w:rPr>
      <w:color w:val="918585"/>
      <w:sz w:val="20"/>
    </w:rPr>
  </w:style>
  <w:style w:type="paragraph" w:styleId="Heading7">
    <w:name w:val="heading 7"/>
    <w:basedOn w:val="Normal"/>
    <w:next w:val="Normal"/>
    <w:link w:val="Heading7Char"/>
    <w:qFormat/>
    <w:rsid w:val="00EC2FFC"/>
    <w:pPr>
      <w:ind w:left="720"/>
      <w:outlineLvl w:val="6"/>
    </w:pPr>
    <w:rPr>
      <w:i/>
    </w:rPr>
  </w:style>
  <w:style w:type="paragraph" w:styleId="Heading8">
    <w:name w:val="heading 8"/>
    <w:basedOn w:val="Normal"/>
    <w:next w:val="Normal"/>
    <w:link w:val="Heading8Char"/>
    <w:qFormat/>
    <w:rsid w:val="00EC2FFC"/>
    <w:pPr>
      <w:ind w:left="720"/>
      <w:outlineLvl w:val="7"/>
    </w:pPr>
    <w:rPr>
      <w:i/>
    </w:rPr>
  </w:style>
  <w:style w:type="paragraph" w:styleId="Heading9">
    <w:name w:val="heading 9"/>
    <w:basedOn w:val="Normal"/>
    <w:next w:val="Normal"/>
    <w:link w:val="Heading9Char"/>
    <w:qFormat/>
    <w:rsid w:val="00EC2FFC"/>
    <w:pPr>
      <w:ind w:left="720"/>
      <w:outlineLvl w:val="8"/>
    </w:pPr>
    <w:rPr>
      <w:i/>
    </w:rPr>
  </w:style>
  <w:style w:type="character" w:default="1" w:styleId="DefaultParagraphFont">
    <w:name w:val="Default Paragraph Font"/>
    <w:uiPriority w:val="1"/>
    <w:unhideWhenUsed/>
    <w:rsid w:val="00EC2F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2FFC"/>
  </w:style>
  <w:style w:type="character" w:customStyle="1" w:styleId="Heading1Char">
    <w:name w:val="Heading 1 Char"/>
    <w:basedOn w:val="DefaultParagraphFont"/>
    <w:link w:val="Heading1"/>
    <w:rsid w:val="00EC2FFC"/>
    <w:rPr>
      <w:rFonts w:ascii="Times New Roman" w:eastAsia="Times New Roman" w:hAnsi="Times New Roman" w:cs="Times New Roman"/>
      <w:b/>
      <w:sz w:val="32"/>
      <w:szCs w:val="20"/>
      <w:lang w:eastAsia="en-US"/>
    </w:rPr>
  </w:style>
  <w:style w:type="paragraph" w:styleId="BodyText">
    <w:name w:val="Body Text"/>
    <w:basedOn w:val="Normal"/>
    <w:link w:val="BodyTextChar"/>
    <w:rsid w:val="00EC2F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2FFC"/>
    <w:rPr>
      <w:rFonts w:ascii="Times New Roman" w:eastAsia="Times New Roman" w:hAnsi="Times New Roman" w:cs="Times New Roman"/>
      <w:sz w:val="24"/>
      <w:lang w:eastAsia="en-US"/>
    </w:rPr>
  </w:style>
  <w:style w:type="paragraph" w:styleId="ListBullet">
    <w:name w:val="List Bullet"/>
    <w:basedOn w:val="List"/>
    <w:rsid w:val="00EC2FFC"/>
    <w:pPr>
      <w:numPr>
        <w:numId w:val="12"/>
      </w:numPr>
      <w:tabs>
        <w:tab w:val="clear" w:pos="340"/>
      </w:tabs>
      <w:spacing w:before="40" w:after="40"/>
    </w:pPr>
  </w:style>
  <w:style w:type="character" w:customStyle="1" w:styleId="SpecialBold">
    <w:name w:val="Special Bold"/>
    <w:basedOn w:val="DefaultParagraphFont"/>
    <w:rsid w:val="00EC2FFC"/>
    <w:rPr>
      <w:b/>
      <w:spacing w:val="0"/>
    </w:rPr>
  </w:style>
  <w:style w:type="paragraph" w:styleId="ListBullet2">
    <w:name w:val="List Bullet 2"/>
    <w:basedOn w:val="List2"/>
    <w:rsid w:val="00EC2FFC"/>
    <w:pPr>
      <w:numPr>
        <w:numId w:val="13"/>
      </w:numPr>
      <w:tabs>
        <w:tab w:val="clear" w:pos="680"/>
      </w:tabs>
    </w:pPr>
  </w:style>
  <w:style w:type="character" w:styleId="Emphasis">
    <w:name w:val="Emphasis"/>
    <w:basedOn w:val="DefaultParagraphFont"/>
    <w:qFormat/>
    <w:rsid w:val="00EC2FFC"/>
    <w:rPr>
      <w:i/>
    </w:rPr>
  </w:style>
  <w:style w:type="paragraph" w:customStyle="1" w:styleId="SuperHeading">
    <w:name w:val="SuperHeading"/>
    <w:basedOn w:val="Normal"/>
    <w:rsid w:val="00EC2FFC"/>
    <w:pPr>
      <w:spacing w:before="240" w:after="120"/>
      <w:outlineLvl w:val="0"/>
    </w:pPr>
    <w:rPr>
      <w:rFonts w:ascii="Times New Roman" w:hAnsi="Times New Roman"/>
      <w:b/>
      <w:sz w:val="32"/>
    </w:rPr>
  </w:style>
  <w:style w:type="paragraph" w:customStyle="1" w:styleId="AllowPageBreak">
    <w:name w:val="AllowPageBreak"/>
    <w:rsid w:val="00EC2F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2F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2F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2F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2F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2F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2F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2F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2FFC"/>
    <w:rPr>
      <w:rFonts w:ascii="Courier New" w:eastAsia="Times New Roman" w:hAnsi="Courier New" w:cs="Times New Roman"/>
      <w:i/>
      <w:szCs w:val="20"/>
      <w:lang w:eastAsia="en-US"/>
    </w:rPr>
  </w:style>
  <w:style w:type="paragraph" w:customStyle="1" w:styleId="HeadingBase">
    <w:name w:val="Heading Base"/>
    <w:rsid w:val="00EC2F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2FFC"/>
    <w:pPr>
      <w:tabs>
        <w:tab w:val="right" w:leader="dot" w:pos="9072"/>
      </w:tabs>
      <w:ind w:left="567"/>
    </w:pPr>
    <w:rPr>
      <w:szCs w:val="22"/>
    </w:rPr>
  </w:style>
  <w:style w:type="paragraph" w:customStyle="1" w:styleId="TOCBase">
    <w:name w:val="TOC Base"/>
    <w:rsid w:val="00EC2F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2FFC"/>
    <w:pPr>
      <w:tabs>
        <w:tab w:val="right" w:leader="dot" w:pos="9072"/>
      </w:tabs>
      <w:spacing w:before="40" w:after="40"/>
      <w:ind w:left="284"/>
    </w:pPr>
    <w:rPr>
      <w:rFonts w:ascii="Times New Roman" w:hAnsi="Times New Roman"/>
    </w:rPr>
  </w:style>
  <w:style w:type="paragraph" w:styleId="TOC1">
    <w:name w:val="toc 1"/>
    <w:basedOn w:val="TOCBase"/>
    <w:next w:val="Normal"/>
    <w:rsid w:val="00EC2F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2F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2FFC"/>
    <w:rPr>
      <w:rFonts w:ascii="Times New Roman" w:eastAsia="Times New Roman" w:hAnsi="Times New Roman" w:cs="Times New Roman"/>
      <w:sz w:val="16"/>
      <w:lang w:eastAsia="en-US"/>
    </w:rPr>
  </w:style>
  <w:style w:type="paragraph" w:styleId="Title">
    <w:name w:val="Title"/>
    <w:basedOn w:val="HeadingBase"/>
    <w:link w:val="TitleChar"/>
    <w:qFormat/>
    <w:rsid w:val="00EC2FFC"/>
    <w:pPr>
      <w:spacing w:before="5040"/>
      <w:jc w:val="center"/>
    </w:pPr>
    <w:rPr>
      <w:sz w:val="48"/>
      <w:szCs w:val="72"/>
      <w:lang w:val="en-US"/>
    </w:rPr>
  </w:style>
  <w:style w:type="character" w:customStyle="1" w:styleId="TitleChar">
    <w:name w:val="Title Char"/>
    <w:basedOn w:val="DefaultParagraphFont"/>
    <w:link w:val="Title"/>
    <w:rsid w:val="00EC2F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2FFC"/>
    <w:pPr>
      <w:tabs>
        <w:tab w:val="left" w:pos="3600"/>
        <w:tab w:val="left" w:pos="3958"/>
      </w:tabs>
    </w:pPr>
  </w:style>
  <w:style w:type="paragraph" w:styleId="List">
    <w:name w:val="List"/>
    <w:basedOn w:val="BodyText"/>
    <w:next w:val="BodyText"/>
    <w:rsid w:val="00EC2FFC"/>
    <w:pPr>
      <w:tabs>
        <w:tab w:val="left" w:pos="340"/>
      </w:tabs>
      <w:spacing w:before="60" w:after="60"/>
      <w:ind w:left="340" w:hanging="340"/>
    </w:pPr>
  </w:style>
  <w:style w:type="paragraph" w:customStyle="1" w:styleId="Note">
    <w:name w:val="Note"/>
    <w:basedOn w:val="BodyText"/>
    <w:rsid w:val="00EC2F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2FFC"/>
    <w:pPr>
      <w:framePr w:wrap="auto" w:hAnchor="text" w:y="6049"/>
    </w:pPr>
    <w:rPr>
      <w:color w:val="000000"/>
      <w:sz w:val="40"/>
    </w:rPr>
  </w:style>
  <w:style w:type="paragraph" w:customStyle="1" w:styleId="TOCTitle">
    <w:name w:val="TOCTitle"/>
    <w:basedOn w:val="Heading1"/>
    <w:rsid w:val="00EC2FFC"/>
    <w:pPr>
      <w:spacing w:after="240"/>
      <w:jc w:val="center"/>
      <w:outlineLvl w:val="9"/>
    </w:pPr>
    <w:rPr>
      <w:caps/>
    </w:rPr>
  </w:style>
  <w:style w:type="paragraph" w:customStyle="1" w:styleId="Version">
    <w:name w:val="Version"/>
    <w:rsid w:val="00EC2F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2FFC"/>
    <w:pPr>
      <w:keepNext w:val="0"/>
      <w:tabs>
        <w:tab w:val="right" w:pos="4176"/>
      </w:tabs>
      <w:ind w:left="198" w:hanging="198"/>
    </w:pPr>
    <w:rPr>
      <w:rFonts w:ascii="Garamond" w:hAnsi="Garamond"/>
    </w:rPr>
  </w:style>
  <w:style w:type="paragraph" w:styleId="IndexHeading">
    <w:name w:val="index heading"/>
    <w:basedOn w:val="Normal"/>
    <w:next w:val="Index1"/>
    <w:semiHidden/>
    <w:rsid w:val="00EC2FFC"/>
    <w:pPr>
      <w:spacing w:before="120" w:after="120"/>
    </w:pPr>
    <w:rPr>
      <w:rFonts w:ascii="Arial" w:hAnsi="Arial"/>
      <w:b/>
      <w:color w:val="918585"/>
      <w:sz w:val="24"/>
    </w:rPr>
  </w:style>
  <w:style w:type="paragraph" w:styleId="Header">
    <w:name w:val="header"/>
    <w:basedOn w:val="Normal"/>
    <w:link w:val="HeaderChar"/>
    <w:rsid w:val="00EC2F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2FFC"/>
    <w:rPr>
      <w:rFonts w:ascii="Times New Roman" w:eastAsia="Times New Roman" w:hAnsi="Times New Roman" w:cs="Times New Roman"/>
      <w:sz w:val="16"/>
      <w:szCs w:val="20"/>
      <w:lang w:val="en-GB" w:eastAsia="en-US"/>
    </w:rPr>
  </w:style>
  <w:style w:type="paragraph" w:customStyle="1" w:styleId="Chapter">
    <w:name w:val="Chapter"/>
    <w:basedOn w:val="Normal"/>
    <w:rsid w:val="00EC2FFC"/>
    <w:pPr>
      <w:spacing w:before="240"/>
    </w:pPr>
    <w:rPr>
      <w:rFonts w:ascii="Times New Roman" w:hAnsi="Times New Roman"/>
      <w:smallCaps/>
      <w:spacing w:val="80"/>
      <w:sz w:val="28"/>
    </w:rPr>
  </w:style>
  <w:style w:type="paragraph" w:customStyle="1" w:styleId="InChapter">
    <w:name w:val="InChapter"/>
    <w:basedOn w:val="Heading3"/>
    <w:rsid w:val="00EC2FFC"/>
    <w:pPr>
      <w:spacing w:after="240"/>
      <w:outlineLvl w:val="9"/>
    </w:pPr>
    <w:rPr>
      <w:noProof/>
    </w:rPr>
  </w:style>
  <w:style w:type="paragraph" w:styleId="Index2">
    <w:name w:val="index 2"/>
    <w:basedOn w:val="Normal"/>
    <w:next w:val="Normal"/>
    <w:semiHidden/>
    <w:rsid w:val="00EC2FFC"/>
    <w:pPr>
      <w:tabs>
        <w:tab w:val="right" w:pos="4176"/>
      </w:tabs>
      <w:ind w:left="568" w:hanging="284"/>
    </w:pPr>
    <w:rPr>
      <w:rFonts w:ascii="Garamond" w:hAnsi="Garamond"/>
    </w:rPr>
  </w:style>
  <w:style w:type="paragraph" w:customStyle="1" w:styleId="Byline">
    <w:name w:val="Byline"/>
    <w:rsid w:val="00EC2F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2FFC"/>
    <w:pPr>
      <w:tabs>
        <w:tab w:val="clear" w:pos="3600"/>
        <w:tab w:val="clear" w:pos="3958"/>
      </w:tabs>
      <w:jc w:val="right"/>
    </w:pPr>
  </w:style>
  <w:style w:type="paragraph" w:styleId="Caption">
    <w:name w:val="caption"/>
    <w:basedOn w:val="BodyText"/>
    <w:next w:val="Normal"/>
    <w:qFormat/>
    <w:rsid w:val="00EC2FFC"/>
    <w:pPr>
      <w:framePr w:w="2268" w:hSpace="181" w:vSpace="181" w:wrap="around" w:vAnchor="text" w:hAnchor="page" w:x="1135" w:y="285" w:anchorLock="1"/>
    </w:pPr>
    <w:rPr>
      <w:i/>
    </w:rPr>
  </w:style>
  <w:style w:type="paragraph" w:customStyle="1" w:styleId="MiniTOCTitle">
    <w:name w:val="MiniTOCTitle"/>
    <w:basedOn w:val="Heading4"/>
    <w:rsid w:val="00EC2FFC"/>
    <w:pPr>
      <w:spacing w:before="240"/>
      <w:outlineLvl w:val="9"/>
    </w:pPr>
    <w:rPr>
      <w:noProof/>
      <w:sz w:val="24"/>
    </w:rPr>
  </w:style>
  <w:style w:type="paragraph" w:customStyle="1" w:styleId="MiniTOCItem">
    <w:name w:val="MiniTOCItem"/>
    <w:basedOn w:val="ListBullet"/>
    <w:rsid w:val="00EC2FFC"/>
    <w:pPr>
      <w:numPr>
        <w:numId w:val="0"/>
      </w:numPr>
      <w:tabs>
        <w:tab w:val="right" w:leader="dot" w:pos="6521"/>
      </w:tabs>
      <w:spacing w:before="0" w:after="0"/>
    </w:pPr>
  </w:style>
  <w:style w:type="paragraph" w:customStyle="1" w:styleId="TOFTitle">
    <w:name w:val="TOFTitle"/>
    <w:basedOn w:val="TOCTitle"/>
    <w:rsid w:val="00EC2FFC"/>
  </w:style>
  <w:style w:type="paragraph" w:styleId="TableofFigures">
    <w:name w:val="table of figures"/>
    <w:basedOn w:val="Normal"/>
    <w:next w:val="Normal"/>
    <w:semiHidden/>
    <w:rsid w:val="00EC2FFC"/>
    <w:pPr>
      <w:tabs>
        <w:tab w:val="right" w:leader="dot" w:pos="9072"/>
      </w:tabs>
      <w:ind w:left="970" w:hanging="403"/>
    </w:pPr>
    <w:rPr>
      <w:rFonts w:ascii="Times New Roman" w:hAnsi="Times New Roman"/>
      <w:b/>
    </w:rPr>
  </w:style>
  <w:style w:type="paragraph" w:styleId="ListNumber">
    <w:name w:val="List Number"/>
    <w:basedOn w:val="List"/>
    <w:rsid w:val="00EC2FFC"/>
    <w:pPr>
      <w:numPr>
        <w:numId w:val="15"/>
      </w:numPr>
      <w:tabs>
        <w:tab w:val="clear" w:pos="340"/>
      </w:tabs>
    </w:pPr>
  </w:style>
  <w:style w:type="character" w:customStyle="1" w:styleId="WingdingSymbols">
    <w:name w:val="Wingding Symbols"/>
    <w:rsid w:val="00EC2FFC"/>
    <w:rPr>
      <w:rFonts w:ascii="Wingdings" w:hAnsi="Wingdings"/>
    </w:rPr>
  </w:style>
  <w:style w:type="paragraph" w:customStyle="1" w:styleId="TableHeading">
    <w:name w:val="Table Heading"/>
    <w:basedOn w:val="HeadingBase"/>
    <w:rsid w:val="00EC2FFC"/>
    <w:pPr>
      <w:keepLines/>
      <w:pBdr>
        <w:bottom w:val="single" w:sz="6" w:space="1" w:color="918585"/>
      </w:pBdr>
      <w:spacing w:before="240"/>
    </w:pPr>
  </w:style>
  <w:style w:type="character" w:customStyle="1" w:styleId="HotSpot">
    <w:name w:val="HotSpot"/>
    <w:rsid w:val="00EC2FFC"/>
    <w:rPr>
      <w:color w:val="0033CC"/>
      <w:u w:val="none"/>
    </w:rPr>
  </w:style>
  <w:style w:type="paragraph" w:customStyle="1" w:styleId="BodyTextRight">
    <w:name w:val="Body Text Right"/>
    <w:basedOn w:val="BodyText"/>
    <w:rsid w:val="00EC2FFC"/>
    <w:pPr>
      <w:spacing w:before="0" w:after="0"/>
      <w:jc w:val="right"/>
    </w:pPr>
  </w:style>
  <w:style w:type="paragraph" w:styleId="Index3">
    <w:name w:val="index 3"/>
    <w:basedOn w:val="ListNumber2"/>
    <w:next w:val="Normal"/>
    <w:semiHidden/>
    <w:rsid w:val="00EC2FFC"/>
    <w:pPr>
      <w:numPr>
        <w:numId w:val="0"/>
      </w:numPr>
      <w:tabs>
        <w:tab w:val="right" w:leader="dot" w:pos="4176"/>
      </w:tabs>
    </w:pPr>
  </w:style>
  <w:style w:type="paragraph" w:styleId="ListNumber2">
    <w:name w:val="List Number 2"/>
    <w:basedOn w:val="List2"/>
    <w:rsid w:val="00EC2FFC"/>
    <w:pPr>
      <w:numPr>
        <w:numId w:val="10"/>
      </w:numPr>
      <w:tabs>
        <w:tab w:val="clear" w:pos="1060"/>
      </w:tabs>
    </w:pPr>
  </w:style>
  <w:style w:type="paragraph" w:customStyle="1" w:styleId="MarginNote">
    <w:name w:val="Margin Note"/>
    <w:basedOn w:val="BodyText"/>
    <w:rsid w:val="00EC2F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2F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2F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2FFC"/>
    <w:rPr>
      <w:sz w:val="32"/>
    </w:rPr>
  </w:style>
  <w:style w:type="paragraph" w:customStyle="1" w:styleId="HeadingProcedure">
    <w:name w:val="Heading Procedure"/>
    <w:basedOn w:val="HeadingBase"/>
    <w:next w:val="Normal"/>
    <w:rsid w:val="00EC2FFC"/>
    <w:pPr>
      <w:tabs>
        <w:tab w:val="left" w:pos="0"/>
      </w:tabs>
      <w:spacing w:before="120" w:after="60"/>
    </w:pPr>
    <w:rPr>
      <w:i/>
      <w:color w:val="918585"/>
      <w:sz w:val="22"/>
    </w:rPr>
  </w:style>
  <w:style w:type="paragraph" w:customStyle="1" w:styleId="TableBodyText">
    <w:name w:val="Table Body Text"/>
    <w:basedOn w:val="BodyText"/>
    <w:rsid w:val="00EC2FFC"/>
    <w:pPr>
      <w:spacing w:before="60" w:after="60"/>
    </w:pPr>
  </w:style>
  <w:style w:type="paragraph" w:styleId="ListContinue">
    <w:name w:val="List Continue"/>
    <w:basedOn w:val="List"/>
    <w:rsid w:val="00EC2FFC"/>
    <w:pPr>
      <w:ind w:firstLine="0"/>
    </w:pPr>
  </w:style>
  <w:style w:type="paragraph" w:customStyle="1" w:styleId="ListNote">
    <w:name w:val="List Note"/>
    <w:basedOn w:val="List"/>
    <w:rsid w:val="00EC2FFC"/>
    <w:pPr>
      <w:pBdr>
        <w:top w:val="single" w:sz="6" w:space="2" w:color="918585"/>
        <w:bottom w:val="single" w:sz="6" w:space="2" w:color="918585"/>
      </w:pBdr>
      <w:tabs>
        <w:tab w:val="left" w:pos="1021"/>
      </w:tabs>
      <w:ind w:firstLine="0"/>
    </w:pPr>
  </w:style>
  <w:style w:type="paragraph" w:customStyle="1" w:styleId="Warning">
    <w:name w:val="Warning"/>
    <w:basedOn w:val="BodyText"/>
    <w:rsid w:val="00EC2FFC"/>
    <w:pPr>
      <w:shd w:val="clear" w:color="auto" w:fill="D9D9D9"/>
      <w:tabs>
        <w:tab w:val="left" w:pos="992"/>
      </w:tabs>
      <w:ind w:left="119" w:right="119"/>
    </w:pPr>
    <w:rPr>
      <w:sz w:val="20"/>
    </w:rPr>
  </w:style>
  <w:style w:type="paragraph" w:customStyle="1" w:styleId="MarginIcons">
    <w:name w:val="Margin Icons"/>
    <w:basedOn w:val="BodyText"/>
    <w:rsid w:val="00EC2F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2FFC"/>
    <w:rPr>
      <w:rFonts w:ascii="Courier New" w:hAnsi="Courier New"/>
    </w:rPr>
  </w:style>
  <w:style w:type="paragraph" w:customStyle="1" w:styleId="NoteBullet">
    <w:name w:val="Note Bullet"/>
    <w:basedOn w:val="Note"/>
    <w:rsid w:val="00EC2FFC"/>
    <w:pPr>
      <w:tabs>
        <w:tab w:val="clear" w:pos="680"/>
      </w:tabs>
      <w:spacing w:before="60" w:after="60"/>
    </w:pPr>
  </w:style>
  <w:style w:type="paragraph" w:customStyle="1" w:styleId="SubHeading2">
    <w:name w:val="SubHeading2"/>
    <w:basedOn w:val="HeadingBase"/>
    <w:rsid w:val="00EC2FFC"/>
    <w:pPr>
      <w:spacing w:before="240" w:after="60"/>
    </w:pPr>
    <w:rPr>
      <w:sz w:val="20"/>
    </w:rPr>
  </w:style>
  <w:style w:type="paragraph" w:customStyle="1" w:styleId="SubHeading1">
    <w:name w:val="SubHeading1"/>
    <w:basedOn w:val="HeadingBase"/>
    <w:rsid w:val="00EC2FFC"/>
    <w:pPr>
      <w:spacing w:before="240" w:after="60"/>
    </w:pPr>
    <w:rPr>
      <w:color w:val="918585"/>
      <w:sz w:val="22"/>
    </w:rPr>
  </w:style>
  <w:style w:type="paragraph" w:customStyle="1" w:styleId="SideHeading">
    <w:name w:val="Side Heading"/>
    <w:basedOn w:val="HeadingBase"/>
    <w:rsid w:val="00EC2F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2FFC"/>
    <w:pPr>
      <w:tabs>
        <w:tab w:val="num" w:pos="360"/>
      </w:tabs>
    </w:pPr>
  </w:style>
  <w:style w:type="paragraph" w:styleId="PlainText">
    <w:name w:val="Plain Text"/>
    <w:basedOn w:val="Normal"/>
    <w:link w:val="PlainTextChar"/>
    <w:rsid w:val="00EC2FFC"/>
    <w:rPr>
      <w:sz w:val="20"/>
    </w:rPr>
  </w:style>
  <w:style w:type="character" w:customStyle="1" w:styleId="PlainTextChar">
    <w:name w:val="Plain Text Char"/>
    <w:basedOn w:val="DefaultParagraphFont"/>
    <w:link w:val="PlainText"/>
    <w:rsid w:val="00EC2FFC"/>
    <w:rPr>
      <w:rFonts w:ascii="Courier New" w:eastAsia="Times New Roman" w:hAnsi="Courier New" w:cs="Times New Roman"/>
      <w:sz w:val="20"/>
      <w:szCs w:val="20"/>
      <w:lang w:eastAsia="en-US"/>
    </w:rPr>
  </w:style>
  <w:style w:type="character" w:customStyle="1" w:styleId="MenuOption">
    <w:name w:val="Menu Option"/>
    <w:basedOn w:val="DefaultParagraphFont"/>
    <w:rsid w:val="00EC2FFC"/>
    <w:rPr>
      <w:b/>
      <w:smallCaps/>
    </w:rPr>
  </w:style>
  <w:style w:type="paragraph" w:customStyle="1" w:styleId="TableListNumber">
    <w:name w:val="Table List Number"/>
    <w:basedOn w:val="ListNumber"/>
    <w:rsid w:val="00EC2FFC"/>
    <w:pPr>
      <w:numPr>
        <w:numId w:val="0"/>
      </w:numPr>
    </w:pPr>
  </w:style>
  <w:style w:type="paragraph" w:styleId="TOC4">
    <w:name w:val="toc 4"/>
    <w:basedOn w:val="TOCBase"/>
    <w:next w:val="Normal"/>
    <w:semiHidden/>
    <w:rsid w:val="00EC2FFC"/>
    <w:pPr>
      <w:tabs>
        <w:tab w:val="right" w:leader="dot" w:pos="9071"/>
      </w:tabs>
      <w:ind w:left="1701"/>
    </w:pPr>
  </w:style>
  <w:style w:type="paragraph" w:customStyle="1" w:styleId="ListAlpha">
    <w:name w:val="List Alpha"/>
    <w:basedOn w:val="List"/>
    <w:rsid w:val="00EC2FFC"/>
    <w:pPr>
      <w:numPr>
        <w:numId w:val="9"/>
      </w:numPr>
    </w:pPr>
  </w:style>
  <w:style w:type="paragraph" w:customStyle="1" w:styleId="ListAlpha2">
    <w:name w:val="List Alpha 2"/>
    <w:basedOn w:val="List2"/>
    <w:rsid w:val="00EC2FFC"/>
    <w:pPr>
      <w:numPr>
        <w:numId w:val="8"/>
      </w:numPr>
    </w:pPr>
  </w:style>
  <w:style w:type="paragraph" w:styleId="List2">
    <w:name w:val="List 2"/>
    <w:basedOn w:val="BodyText"/>
    <w:rsid w:val="00EC2FFC"/>
    <w:pPr>
      <w:tabs>
        <w:tab w:val="left" w:pos="680"/>
      </w:tabs>
      <w:spacing w:before="60" w:after="60"/>
      <w:ind w:left="680" w:hanging="340"/>
    </w:pPr>
  </w:style>
  <w:style w:type="paragraph" w:styleId="List3">
    <w:name w:val="List 3"/>
    <w:basedOn w:val="BodyText"/>
    <w:rsid w:val="00EC2FFC"/>
    <w:pPr>
      <w:tabs>
        <w:tab w:val="left" w:pos="1021"/>
      </w:tabs>
      <w:spacing w:before="60" w:after="60"/>
      <w:ind w:left="1020" w:hanging="340"/>
    </w:pPr>
  </w:style>
  <w:style w:type="paragraph" w:styleId="List4">
    <w:name w:val="List 4"/>
    <w:basedOn w:val="BodyText"/>
    <w:rsid w:val="00EC2FFC"/>
    <w:pPr>
      <w:tabs>
        <w:tab w:val="left" w:pos="1361"/>
      </w:tabs>
      <w:spacing w:before="60" w:after="60"/>
      <w:ind w:left="1361" w:hanging="340"/>
    </w:pPr>
  </w:style>
  <w:style w:type="paragraph" w:styleId="List5">
    <w:name w:val="List 5"/>
    <w:basedOn w:val="BodyText"/>
    <w:rsid w:val="00EC2FFC"/>
    <w:pPr>
      <w:tabs>
        <w:tab w:val="left" w:pos="1701"/>
      </w:tabs>
      <w:spacing w:before="60" w:after="60"/>
      <w:ind w:left="1701" w:hanging="340"/>
    </w:pPr>
  </w:style>
  <w:style w:type="paragraph" w:styleId="ListBullet3">
    <w:name w:val="List Bullet 3"/>
    <w:basedOn w:val="List3"/>
    <w:rsid w:val="00EC2FFC"/>
    <w:pPr>
      <w:numPr>
        <w:numId w:val="14"/>
      </w:numPr>
      <w:tabs>
        <w:tab w:val="clear" w:pos="1021"/>
      </w:tabs>
      <w:ind w:left="1037" w:hanging="357"/>
    </w:pPr>
  </w:style>
  <w:style w:type="paragraph" w:styleId="ListBullet4">
    <w:name w:val="List Bullet 4"/>
    <w:basedOn w:val="List4"/>
    <w:rsid w:val="00EC2FFC"/>
    <w:pPr>
      <w:numPr>
        <w:numId w:val="3"/>
      </w:numPr>
      <w:tabs>
        <w:tab w:val="clear" w:pos="1361"/>
      </w:tabs>
    </w:pPr>
  </w:style>
  <w:style w:type="paragraph" w:styleId="ListBullet5">
    <w:name w:val="List Bullet 5"/>
    <w:basedOn w:val="List5"/>
    <w:rsid w:val="00EC2FFC"/>
    <w:pPr>
      <w:numPr>
        <w:numId w:val="4"/>
      </w:numPr>
    </w:pPr>
  </w:style>
  <w:style w:type="paragraph" w:styleId="ListContinue2">
    <w:name w:val="List Continue 2"/>
    <w:basedOn w:val="List2"/>
    <w:rsid w:val="00EC2FFC"/>
    <w:pPr>
      <w:ind w:firstLine="0"/>
    </w:pPr>
  </w:style>
  <w:style w:type="paragraph" w:styleId="ListContinue3">
    <w:name w:val="List Continue 3"/>
    <w:basedOn w:val="List3"/>
    <w:rsid w:val="00EC2FFC"/>
    <w:pPr>
      <w:ind w:left="1021" w:firstLine="0"/>
    </w:pPr>
  </w:style>
  <w:style w:type="paragraph" w:styleId="ListContinue4">
    <w:name w:val="List Continue 4"/>
    <w:basedOn w:val="List4"/>
    <w:rsid w:val="00EC2FFC"/>
    <w:pPr>
      <w:ind w:firstLine="0"/>
    </w:pPr>
  </w:style>
  <w:style w:type="paragraph" w:styleId="ListContinue5">
    <w:name w:val="List Continue 5"/>
    <w:basedOn w:val="List5"/>
    <w:rsid w:val="00EC2FFC"/>
    <w:pPr>
      <w:ind w:firstLine="0"/>
    </w:pPr>
  </w:style>
  <w:style w:type="paragraph" w:styleId="ListNumber3">
    <w:name w:val="List Number 3"/>
    <w:basedOn w:val="List3"/>
    <w:rsid w:val="00EC2FFC"/>
    <w:pPr>
      <w:numPr>
        <w:numId w:val="5"/>
      </w:numPr>
    </w:pPr>
  </w:style>
  <w:style w:type="paragraph" w:styleId="ListNumber4">
    <w:name w:val="List Number 4"/>
    <w:basedOn w:val="List4"/>
    <w:rsid w:val="00EC2FFC"/>
    <w:pPr>
      <w:numPr>
        <w:numId w:val="6"/>
      </w:numPr>
    </w:pPr>
  </w:style>
  <w:style w:type="paragraph" w:styleId="ListNumber5">
    <w:name w:val="List Number 5"/>
    <w:basedOn w:val="List5"/>
    <w:rsid w:val="00EC2FFC"/>
    <w:pPr>
      <w:numPr>
        <w:numId w:val="7"/>
      </w:numPr>
    </w:pPr>
  </w:style>
  <w:style w:type="paragraph" w:styleId="BlockText">
    <w:name w:val="Block Text"/>
    <w:basedOn w:val="Normal"/>
    <w:rsid w:val="00EC2FFC"/>
    <w:pPr>
      <w:spacing w:after="120"/>
      <w:ind w:left="1440" w:right="1440"/>
    </w:pPr>
  </w:style>
  <w:style w:type="character" w:customStyle="1" w:styleId="Subscript">
    <w:name w:val="Subscript"/>
    <w:basedOn w:val="DefaultParagraphFont"/>
    <w:rsid w:val="00EC2FFC"/>
    <w:rPr>
      <w:sz w:val="16"/>
      <w:vertAlign w:val="subscript"/>
    </w:rPr>
  </w:style>
  <w:style w:type="character" w:customStyle="1" w:styleId="Superscript">
    <w:name w:val="Superscript"/>
    <w:basedOn w:val="DefaultParagraphFont"/>
    <w:rsid w:val="00EC2FFC"/>
    <w:rPr>
      <w:sz w:val="16"/>
      <w:vertAlign w:val="superscript"/>
    </w:rPr>
  </w:style>
  <w:style w:type="character" w:customStyle="1" w:styleId="Symbols">
    <w:name w:val="Symbols"/>
    <w:basedOn w:val="DefaultParagraphFont"/>
    <w:rsid w:val="00EC2FFC"/>
    <w:rPr>
      <w:rFonts w:ascii="Symbol" w:hAnsi="Symbol"/>
    </w:rPr>
  </w:style>
  <w:style w:type="character" w:customStyle="1" w:styleId="MenuOptions">
    <w:name w:val="Menu Options"/>
    <w:basedOn w:val="DefaultParagraphFont"/>
    <w:rsid w:val="00EC2FFC"/>
    <w:rPr>
      <w:rFonts w:ascii="Arial Narrow" w:hAnsi="Arial Narrow"/>
      <w:smallCaps/>
    </w:rPr>
  </w:style>
  <w:style w:type="character" w:customStyle="1" w:styleId="Buttons">
    <w:name w:val="Buttons"/>
    <w:basedOn w:val="DefaultParagraphFont"/>
    <w:rsid w:val="00EC2FFC"/>
    <w:rPr>
      <w:b/>
    </w:rPr>
  </w:style>
  <w:style w:type="character" w:customStyle="1" w:styleId="Underlined">
    <w:name w:val="Underlined"/>
    <w:basedOn w:val="DefaultParagraphFont"/>
    <w:rsid w:val="00EC2FFC"/>
    <w:rPr>
      <w:u w:val="single"/>
    </w:rPr>
  </w:style>
  <w:style w:type="paragraph" w:customStyle="1" w:styleId="TableBodyTextRight">
    <w:name w:val="Table Body Text Right"/>
    <w:basedOn w:val="TableBodyText"/>
    <w:rsid w:val="00EC2FFC"/>
    <w:pPr>
      <w:widowControl w:val="0"/>
      <w:autoSpaceDE w:val="0"/>
      <w:autoSpaceDN w:val="0"/>
      <w:adjustRightInd w:val="0"/>
      <w:jc w:val="right"/>
    </w:pPr>
    <w:rPr>
      <w:rFonts w:cs="Arial"/>
      <w:szCs w:val="18"/>
    </w:rPr>
  </w:style>
  <w:style w:type="paragraph" w:customStyle="1" w:styleId="CopyrightText">
    <w:name w:val="Copyright Text"/>
    <w:basedOn w:val="BodyText"/>
    <w:rsid w:val="00EC2FFC"/>
    <w:rPr>
      <w:sz w:val="18"/>
    </w:rPr>
  </w:style>
  <w:style w:type="paragraph" w:customStyle="1" w:styleId="BodySmallRight">
    <w:name w:val="Body Small Right"/>
    <w:basedOn w:val="BodyTextRight"/>
    <w:rsid w:val="00EC2FFC"/>
    <w:rPr>
      <w:sz w:val="18"/>
      <w:szCs w:val="18"/>
    </w:rPr>
  </w:style>
  <w:style w:type="paragraph" w:customStyle="1" w:styleId="MarginEdition">
    <w:name w:val="Margin Edition"/>
    <w:basedOn w:val="MarginNote"/>
    <w:rsid w:val="00EC2FFC"/>
    <w:pPr>
      <w:spacing w:before="0" w:after="0"/>
    </w:pPr>
    <w:rPr>
      <w:rFonts w:ascii="Times New Roman" w:hAnsi="Times New Roman"/>
      <w:color w:val="999999"/>
    </w:rPr>
  </w:style>
  <w:style w:type="paragraph" w:customStyle="1" w:styleId="Spacer">
    <w:name w:val="Spacer"/>
    <w:basedOn w:val="Normal"/>
    <w:rsid w:val="00EC2FFC"/>
    <w:rPr>
      <w:sz w:val="2"/>
      <w:szCs w:val="2"/>
    </w:rPr>
  </w:style>
  <w:style w:type="character" w:customStyle="1" w:styleId="Small">
    <w:name w:val="Small"/>
    <w:basedOn w:val="DefaultParagraphFont"/>
    <w:rsid w:val="00EC2FFC"/>
    <w:rPr>
      <w:sz w:val="16"/>
    </w:rPr>
  </w:style>
  <w:style w:type="paragraph" w:customStyle="1" w:styleId="WideTable">
    <w:name w:val="Wide Table"/>
    <w:basedOn w:val="Normal"/>
    <w:rsid w:val="00EC2FFC"/>
    <w:pPr>
      <w:ind w:left="-1418"/>
    </w:pPr>
    <w:rPr>
      <w:sz w:val="2"/>
      <w:szCs w:val="2"/>
    </w:rPr>
  </w:style>
  <w:style w:type="character" w:styleId="PageNumber">
    <w:name w:val="page number"/>
    <w:basedOn w:val="DefaultParagraphFont"/>
    <w:rsid w:val="00EC2FFC"/>
  </w:style>
  <w:style w:type="paragraph" w:styleId="Quote">
    <w:name w:val="Quote"/>
    <w:basedOn w:val="Heading1"/>
    <w:link w:val="QuoteChar"/>
    <w:qFormat/>
    <w:rsid w:val="00EC2FFC"/>
    <w:rPr>
      <w:b w:val="0"/>
      <w:sz w:val="72"/>
      <w:szCs w:val="72"/>
      <w:lang w:val="en-NZ"/>
    </w:rPr>
  </w:style>
  <w:style w:type="character" w:customStyle="1" w:styleId="QuoteChar">
    <w:name w:val="Quote Char"/>
    <w:basedOn w:val="DefaultParagraphFont"/>
    <w:link w:val="Quote"/>
    <w:rsid w:val="00EC2F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2FFC"/>
    <w:pPr>
      <w:pageBreakBefore/>
    </w:pPr>
  </w:style>
  <w:style w:type="paragraph" w:customStyle="1" w:styleId="Border">
    <w:name w:val="Border"/>
    <w:basedOn w:val="Normal"/>
    <w:qFormat/>
    <w:rsid w:val="00EC2F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2FFC"/>
    <w:rPr>
      <w:b/>
      <w:bCs/>
      <w:i/>
      <w:iCs/>
      <w:color w:val="auto"/>
    </w:rPr>
  </w:style>
  <w:style w:type="paragraph" w:styleId="IntenseQuote">
    <w:name w:val="Intense Quote"/>
    <w:basedOn w:val="Normal"/>
    <w:next w:val="Normal"/>
    <w:link w:val="IntenseQuoteChar"/>
    <w:uiPriority w:val="30"/>
    <w:qFormat/>
    <w:rsid w:val="00EC2F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2F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2FFC"/>
    <w:rPr>
      <w:smallCaps/>
      <w:color w:val="auto"/>
      <w:u w:val="single"/>
    </w:rPr>
  </w:style>
  <w:style w:type="character" w:styleId="IntenseReference">
    <w:name w:val="Intense Reference"/>
    <w:basedOn w:val="DefaultParagraphFont"/>
    <w:uiPriority w:val="32"/>
    <w:qFormat/>
    <w:rsid w:val="00EC2FFC"/>
    <w:rPr>
      <w:b/>
      <w:bCs/>
      <w:smallCaps/>
      <w:color w:val="auto"/>
      <w:spacing w:val="5"/>
      <w:u w:val="single"/>
    </w:rPr>
  </w:style>
  <w:style w:type="paragraph" w:customStyle="1" w:styleId="2ColumnHeading">
    <w:name w:val="2Column Heading"/>
    <w:basedOn w:val="BodyText"/>
    <w:qFormat/>
    <w:rsid w:val="00EC2FFC"/>
    <w:pPr>
      <w:spacing w:after="60"/>
      <w:ind w:left="-2268"/>
    </w:pPr>
    <w:rPr>
      <w:b/>
    </w:rPr>
  </w:style>
  <w:style w:type="paragraph" w:customStyle="1" w:styleId="Heading1TOC">
    <w:name w:val="Heading1 TOC"/>
    <w:basedOn w:val="Normal"/>
    <w:qFormat/>
    <w:rsid w:val="00EC2FFC"/>
    <w:pPr>
      <w:spacing w:before="240" w:after="120"/>
    </w:pPr>
    <w:rPr>
      <w:rFonts w:ascii="Times New Roman" w:hAnsi="Times New Roman"/>
      <w:b/>
      <w:sz w:val="32"/>
    </w:rPr>
  </w:style>
  <w:style w:type="paragraph" w:customStyle="1" w:styleId="Heading2TOC">
    <w:name w:val="Heading2 TOC"/>
    <w:basedOn w:val="Normal"/>
    <w:qFormat/>
    <w:rsid w:val="00EC2FFC"/>
    <w:pPr>
      <w:spacing w:before="240" w:after="60"/>
    </w:pPr>
    <w:rPr>
      <w:rFonts w:ascii="Times New Roman" w:hAnsi="Times New Roman"/>
      <w:b/>
      <w:sz w:val="28"/>
    </w:rPr>
  </w:style>
  <w:style w:type="character" w:customStyle="1" w:styleId="Underline">
    <w:name w:val="Underline"/>
    <w:basedOn w:val="DefaultParagraphFont"/>
    <w:qFormat/>
    <w:rsid w:val="00EC2FFC"/>
    <w:rPr>
      <w:u w:val="single"/>
    </w:rPr>
  </w:style>
  <w:style w:type="character" w:customStyle="1" w:styleId="BoldandItalics">
    <w:name w:val="Bold and Italics"/>
    <w:qFormat/>
    <w:rsid w:val="00EC2FFC"/>
    <w:rPr>
      <w:b/>
      <w:i/>
      <w:u w:val="none"/>
    </w:rPr>
  </w:style>
  <w:style w:type="paragraph" w:styleId="BalloonText">
    <w:name w:val="Balloon Text"/>
    <w:basedOn w:val="Normal"/>
    <w:link w:val="BalloonTextChar"/>
    <w:rsid w:val="00EC2FFC"/>
    <w:rPr>
      <w:rFonts w:ascii="Tahoma" w:hAnsi="Tahoma" w:cs="Tahoma"/>
      <w:sz w:val="16"/>
      <w:szCs w:val="16"/>
    </w:rPr>
  </w:style>
  <w:style w:type="character" w:customStyle="1" w:styleId="BalloonTextChar">
    <w:name w:val="Balloon Text Char"/>
    <w:basedOn w:val="DefaultParagraphFont"/>
    <w:link w:val="BalloonText"/>
    <w:rsid w:val="00EC2F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2F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2F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2FFC"/>
    <w:rPr>
      <w:b/>
      <w:color w:val="660033"/>
      <w:spacing w:val="0"/>
    </w:rPr>
  </w:style>
  <w:style w:type="paragraph" w:customStyle="1" w:styleId="Nameditemlist">
    <w:name w:val="Named item list"/>
    <w:basedOn w:val="BodyText"/>
    <w:qFormat/>
    <w:rsid w:val="00EC2FFC"/>
    <w:pPr>
      <w:tabs>
        <w:tab w:val="left" w:pos="2835"/>
      </w:tabs>
      <w:ind w:left="2835" w:hanging="2835"/>
    </w:pPr>
  </w:style>
  <w:style w:type="paragraph" w:customStyle="1" w:styleId="BodyTextnopadding">
    <w:name w:val="Body Text no padding"/>
    <w:basedOn w:val="BodyText"/>
    <w:qFormat/>
    <w:rsid w:val="00EC2FFC"/>
    <w:pPr>
      <w:spacing w:before="0" w:after="0"/>
    </w:pPr>
  </w:style>
  <w:style w:type="paragraph" w:customStyle="1" w:styleId="BodyTextBold">
    <w:name w:val="Body Text Bold"/>
    <w:basedOn w:val="BodyText"/>
    <w:qFormat/>
    <w:rsid w:val="00EC2FFC"/>
    <w:rPr>
      <w:b/>
    </w:rPr>
  </w:style>
  <w:style w:type="character" w:styleId="Hyperlink">
    <w:name w:val="Hyperlink"/>
    <w:basedOn w:val="DefaultParagraphFont"/>
    <w:uiPriority w:val="99"/>
    <w:unhideWhenUsed/>
    <w:rsid w:val="00CF0D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1130</Words>
  <Characters>7227</Characters>
  <Application>Microsoft Office Word</Application>
  <DocSecurity>0</DocSecurity>
  <Lines>267</Lines>
  <Paragraphs>149</Paragraphs>
  <ScaleCrop>false</ScaleCrop>
  <Company>Author-it Software Corporation Ltd.</Company>
  <LinksUpToDate>false</LinksUpToDate>
  <CharactersWithSpaces>8208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MSFSF2013 Dress windows</dc:title>
  <dc:subject>Approved</dc:subject>
  <dc:creator>Skills Insight</dc:creator>
  <cp:keywords>Release: 1</cp:keywords>
  <dc:description>Review Date: 12 April 2008</dc:description>
  <cp:lastModifiedBy>HSD_TPCMSd.prod</cp:lastModifiedBy>
  <cp:revision>3</cp:revision>
  <dcterms:created xsi:type="dcterms:W3CDTF">2025-03-01T22:43:00Z</dcterms:created>
  <dcterms:modified xsi:type="dcterms:W3CDTF">2025-03-01T22:43:00Z</dcterms:modified>
</cp:coreProperties>
</file>